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1301"/>
        <w:gridCol w:w="3235"/>
      </w:tblGrid>
      <w:tr>
        <w:trPr>
          <w:trHeight w:val="416" w:hRule="atLeast"/>
        </w:trPr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/>
              <w:ind w:left="-57" w:right="0" w:hanging="0"/>
              <w:rPr/>
            </w:pPr>
            <w:r>
              <w:rPr/>
              <w:drawing>
                <wp:inline distT="0" distB="0" distL="0" distR="0">
                  <wp:extent cx="2949575" cy="54165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-71" w:right="0" w:hanging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Кафедра обчислювальної техніки</w:t>
            </w:r>
          </w:p>
        </w:tc>
      </w:tr>
      <w:tr>
        <w:trPr>
          <w:trHeight w:val="628" w:hRule="atLeast"/>
        </w:trPr>
        <w:tc>
          <w:tcPr>
            <w:tcW w:w="10206" w:type="dxa"/>
            <w:gridSpan w:val="3"/>
            <w:tcBorders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/>
                <w:b/>
                <w:color w:val="00206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Методології і технології розроб</w:t>
            </w: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лення</w:t>
            </w: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 xml:space="preserve"> програмного забезпечення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Реквізити навчальної дисципліни</w:t>
      </w:r>
    </w:p>
    <w:tbl>
      <w:tblPr>
        <w:tblW w:w="10206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511"/>
      </w:tblGrid>
      <w:tr>
        <w:trPr/>
        <w:tc>
          <w:tcPr>
            <w:tcW w:w="2694" w:type="dxa"/>
            <w:tcBorders>
              <w:bottom w:val="single" w:sz="12" w:space="0" w:color="95B3D7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  <w:lang w:val="uk-UA" w:eastAsia="en-US"/>
              </w:rPr>
              <w:t>Перший</w:t>
            </w: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  <w:lang w:val="uk-UA" w:eastAsia="en-US"/>
              </w:rPr>
              <w:t>бакалавр</w:t>
            </w: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>ський)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12 Інформаційні технології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121 Інженерія програмного забезпечення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  <w:shd w:fill="auto" w:val="clear"/>
              </w:rPr>
              <w:t>Інженерія програмного забезпечення комп’ютерних систем, Комп’ютерні системи та мережі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 w:eastAsia="Times New Roman" w:cs="Times New Roman"/>
                <w:i/>
                <w:i/>
                <w:color w:val="0070C0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Calibri" w:hAnsi="Calibri"/>
                <w:i/>
                <w:color w:val="0070C0"/>
                <w:kern w:val="0"/>
                <w:sz w:val="22"/>
                <w:szCs w:val="22"/>
                <w:lang w:val="uk-UA" w:eastAsia="en-US" w:bidi="ar-SA"/>
              </w:rPr>
              <w:t>Нормативна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очна(денна)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2 курс, весняний семестр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4  кредити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 w:eastAsia="Times New Roman" w:cs="Times New Roman"/>
                <w:i/>
                <w:i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Calibri" w:hAnsi="Calibri"/>
                <w:i/>
                <w:color w:val="auto"/>
                <w:kern w:val="0"/>
                <w:sz w:val="22"/>
                <w:szCs w:val="22"/>
                <w:lang w:val="uk-UA" w:eastAsia="en-US" w:bidi="ar-SA"/>
              </w:rPr>
              <w:t>Залік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Лекцій 18 (36 годин),   </w:t>
            </w:r>
            <w:r>
              <w:rPr>
                <w:rFonts w:ascii="Calibri" w:hAnsi="Calibri"/>
                <w:i/>
                <w:sz w:val="22"/>
                <w:szCs w:val="22"/>
                <w:shd w:fill="auto" w:val="clear"/>
              </w:rPr>
              <w:t xml:space="preserve">Лабораторних  </w:t>
            </w:r>
            <w:r>
              <w:rPr>
                <w:rFonts w:eastAsia="Times New Roman" w:cs="Times New Roman" w:ascii="Calibri" w:hAnsi="Calibri"/>
                <w:i/>
                <w:color w:val="000000"/>
                <w:kern w:val="0"/>
                <w:sz w:val="22"/>
                <w:szCs w:val="22"/>
                <w:shd w:fill="auto" w:val="clear"/>
                <w:lang w:val="uk-UA" w:eastAsia="en-US" w:bidi="ar-SA"/>
              </w:rPr>
              <w:t>9</w:t>
            </w:r>
            <w:r>
              <w:rPr>
                <w:rFonts w:ascii="Calibri" w:hAnsi="Calibri"/>
                <w:i/>
                <w:sz w:val="22"/>
                <w:szCs w:val="22"/>
                <w:shd w:fill="auto" w:val="clear"/>
              </w:rPr>
              <w:t xml:space="preserve"> (</w:t>
            </w:r>
            <w:r>
              <w:rPr>
                <w:rFonts w:eastAsia="Times New Roman" w:cs="Times New Roman" w:ascii="Calibri" w:hAnsi="Calibri"/>
                <w:i/>
                <w:color w:val="000000"/>
                <w:kern w:val="0"/>
                <w:sz w:val="22"/>
                <w:szCs w:val="22"/>
                <w:shd w:fill="auto" w:val="clear"/>
                <w:lang w:val="uk-UA" w:eastAsia="en-US" w:bidi="ar-SA"/>
              </w:rPr>
              <w:t>18</w:t>
            </w:r>
            <w:r>
              <w:rPr>
                <w:rFonts w:ascii="Calibri" w:hAnsi="Calibri"/>
                <w:i/>
                <w:sz w:val="22"/>
                <w:szCs w:val="22"/>
                <w:shd w:fill="auto" w:val="clear"/>
              </w:rPr>
              <w:t xml:space="preserve"> годин)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Інформація про </w:t>
              <w:br/>
              <w:t>керівника курсу / викладачів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Лектор: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Ковальчук Олександр Миронович</w:t>
            </w:r>
            <w:r>
              <w:rPr>
                <w:rFonts w:ascii="Calibri" w:hAnsi="Calibri"/>
                <w:i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kovalchuk.oleksandr@lll.kpi.ua</w:t>
            </w:r>
          </w:p>
          <w:p>
            <w:pPr>
              <w:pStyle w:val="Normal"/>
              <w:widowControl w:val="false"/>
              <w:spacing w:lineRule="auto" w:line="240" w:before="20" w:after="20"/>
              <w:rPr>
                <w:shd w:fill="auto" w:val="clear"/>
              </w:rPr>
            </w:pP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Лабораторні: </w:t>
            </w:r>
            <w:r>
              <w:rPr>
                <w:rFonts w:eastAsia="Times New Roman" w:cs="Times New Roman" w:ascii="Calibri" w:hAnsi="Calibri"/>
                <w:i/>
                <w:color w:val="000000"/>
                <w:kern w:val="0"/>
                <w:sz w:val="22"/>
                <w:szCs w:val="22"/>
                <w:shd w:fill="auto" w:val="clear"/>
                <w:lang w:val="uk-UA" w:eastAsia="en-US" w:bidi="ar-SA"/>
              </w:rPr>
              <w:t xml:space="preserve"> 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uk-UA" w:eastAsia="en-US" w:bidi="ar-SA"/>
              </w:rPr>
              <w:t>Ковальчук Олександр Миронович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rPr/>
            </w:pPr>
            <w:hyperlink r:id="rId3">
              <w:r>
                <w:rPr>
                  <w:rStyle w:val="InternetLink"/>
                  <w:shd w:fill="auto" w:val="clear"/>
                </w:rPr>
                <w:t>https://classroom.google.com/u/0/c/NTkyNTg0NDQ3NjI5</w:t>
              </w:r>
            </w:hyperlink>
          </w:p>
        </w:tc>
      </w:tr>
    </w:tbl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Програма навчальної дисципліни</w:t>
      </w:r>
    </w:p>
    <w:p>
      <w:pPr>
        <w:pStyle w:val="Heading1"/>
        <w:rPr/>
      </w:pPr>
      <w:r>
        <w:rPr/>
        <w:t>Опис навчальної дисципліни, її мета, предмет вивчання та результати навчання</w:t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Дисципліна “Методології і технології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програмного забезпечення” спрямована на вивчення студентами сучасних підходів та методів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 xml:space="preserve">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. В дисципліні розглядаються: інструменти та підходи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програмних продуктів, засоби управління залежностями, логування та моніторинг в сучасних програмних продуктах, способи організації взаємодії при розробці програмного забезпечення. Вивчення даної дисципліни майбутніми фахівцями дозволить їм набути важливих компетенцій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в сфері інженерії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.</w:t>
      </w:r>
    </w:p>
    <w:p>
      <w:pPr>
        <w:pStyle w:val="Normal"/>
        <w:suppressAutoHyphens w:val="true"/>
        <w:spacing w:lineRule="auto" w:line="240"/>
        <w:ind w:left="0" w:right="0" w:firstLine="567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eastAsia="ru-RU"/>
        </w:rPr>
        <w:t xml:space="preserve">Метою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вивчення дисципліни “Методології і технології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програмного забезпечення” є підготовка фахівців, здатних розв’язувати комплексні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задачі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у сфері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підтримуваного програмного забезпечення та використовувати сучасні підходи та інструменти при розробці.</w:t>
      </w:r>
    </w:p>
    <w:p>
      <w:pPr>
        <w:pStyle w:val="Normal"/>
        <w:suppressAutoHyphens w:val="true"/>
        <w:spacing w:lineRule="auto" w:line="240"/>
        <w:ind w:left="0" w:right="0" w:firstLine="567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/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lang w:eastAsia="ru-RU"/>
        </w:rPr>
        <w:t>Предметом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дисципліни є: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теоретичні та практичні засади розроб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та підтримки програмних продуктів;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методи та засоби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взаємодії між розробниками при розробці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методи тестування програмного забезпечення;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методи неперервної інтеграції;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принципи побудови архітектури програмного забезпечення;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4"/>
          <w:szCs w:val="24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способи доставки та розгортання програмного забезпечення.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Calibri" w:hAnsi="Calibri" w:eastAsia="Calibri" w:cs="Calibri"/>
          <w:color w:val="000000"/>
          <w:sz w:val="24"/>
          <w:szCs w:val="24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</w:r>
    </w:p>
    <w:p>
      <w:pPr>
        <w:pStyle w:val="Normal"/>
        <w:suppressAutoHyphens w:val="true"/>
        <w:spacing w:lineRule="auto" w:line="259"/>
        <w:ind w:left="0" w:right="0" w:firstLine="708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Згідно з вимогами ОПП  здобувачі після засвоєння дисципліни  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“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Методології та технології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”</w:t>
      </w:r>
      <w:r>
        <w:rPr>
          <w:rFonts w:eastAsia="Calibri" w:cs="Calibri" w:ascii="Calibri" w:hAnsi="Calibri"/>
          <w:sz w:val="24"/>
          <w:szCs w:val="24"/>
        </w:rPr>
        <w:t xml:space="preserve"> мають продемонструвати такі компетентності та програмні результати навчання: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здатність до абстрактного мислення, аналізу та синтезу;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здатність до алгоритмічного та логічного мислення;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здатність розробляти та підтримувати програмні продукти;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знати та вміти застосовувати методи та технології розроб</w:t>
      </w:r>
      <w:r>
        <w:rPr>
          <w:rFonts w:eastAsia="Calibri" w:cs="Calibri" w:ascii="Calibri" w:hAnsi="Calibri"/>
          <w:sz w:val="24"/>
          <w:szCs w:val="24"/>
          <w:shd w:fill="auto" w:val="clear"/>
        </w:rPr>
        <w:t>лення</w:t>
      </w: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програмних продуктів.</w:t>
      </w:r>
    </w:p>
    <w:p>
      <w:pPr>
        <w:pStyle w:val="Normal"/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За результатами вивчення навчальної дисципліни “Методології та технології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програмного забезпечення” мають бути отримані такі </w:t>
      </w: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eastAsia="ru-RU"/>
        </w:rPr>
        <w:t>знання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60"/>
        <w:contextualSpacing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концептуальні та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теоретичні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знання у сфері інженерії програмного забезпечення;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60"/>
        <w:contextualSpacing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методологічні знання в плані застосування сучасних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методів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та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технології для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 xml:space="preserve">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160"/>
        <w:contextual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eastAsia="ru-RU"/>
        </w:rPr>
        <w:t>Уміння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, які мають бути отримані у рамках вивчення навчальної дисципліни “Методології та технології розроб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програмного забезпечення”: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розробляти програмне забезпечення;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використовувати підходи адаптації програмного забезпечення до змін;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застосовувати сучасні інструменти для тестування програмного забезпечення;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ефективно взаємодіяти з командою при груповій розробці програмного забезпечення;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720" w:hanging="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</w:r>
    </w:p>
    <w:p>
      <w:pPr>
        <w:pStyle w:val="Normal"/>
        <w:spacing w:lineRule="auto" w:line="240" w:before="0" w:after="120"/>
        <w:ind w:left="0" w:right="0" w:firstLine="708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Таке поєднання загальних та спеціальних компетентностей, теоретичних та практичних знань, умінь та здатностей сприяє підвищенню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професійного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рівня здобувачів ступеня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бакалавр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задля здійснення ними ефективної діяльності в сфері розроб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лення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програмних продуктів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120"/>
        <w:ind w:left="0" w:right="0" w:firstLine="708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</w:r>
    </w:p>
    <w:p>
      <w:pPr>
        <w:pStyle w:val="Heading1"/>
        <w:spacing w:lineRule="auto" w:line="240"/>
        <w:rPr/>
      </w:pPr>
      <w:r>
        <w:rPr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>
      <w:pPr>
        <w:pStyle w:val="Normal"/>
        <w:spacing w:lineRule="auto" w:line="240" w:before="0" w:after="120"/>
        <w:ind w:left="0" w:right="0" w:firstLine="708"/>
        <w:jc w:val="both"/>
        <w:rPr>
          <w:rFonts w:ascii="Calibri" w:hAnsi="Calibri"/>
          <w:sz w:val="24"/>
          <w:szCs w:val="24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Необхідні дисципліни: “Алгоритми та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методи обчислень</w:t>
      </w:r>
      <w:r>
        <w:rPr>
          <w:rFonts w:ascii="Calibri" w:hAnsi="Calibri"/>
          <w:sz w:val="24"/>
          <w:szCs w:val="24"/>
          <w:shd w:fill="auto" w:val="clear"/>
        </w:rPr>
        <w:t>”, “Бази даних”, .”Основи програмування”</w:t>
      </w:r>
    </w:p>
    <w:p>
      <w:pPr>
        <w:pStyle w:val="Normal"/>
        <w:suppressAutoHyphens w:val="true"/>
        <w:spacing w:lineRule="auto" w:line="259" w:before="0" w:after="120"/>
        <w:ind w:left="0" w:right="0" w:firstLine="708"/>
        <w:jc w:val="both"/>
        <w:rPr>
          <w:rFonts w:ascii="Calibri" w:hAnsi="Calibri"/>
          <w:i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</w:r>
    </w:p>
    <w:p>
      <w:pPr>
        <w:pStyle w:val="Heading1"/>
        <w:spacing w:lineRule="auto" w:line="240"/>
        <w:rPr/>
      </w:pPr>
      <w:r>
        <w:rPr/>
        <w:t xml:space="preserve">Зміст навчальної дисципліни </w:t>
      </w:r>
    </w:p>
    <w:p>
      <w:pPr>
        <w:pStyle w:val="Normal"/>
        <w:ind w:left="0" w:right="0" w:firstLine="708"/>
        <w:rPr/>
      </w:pPr>
      <w:r>
        <w:rPr>
          <w:rFonts w:cs="Calibri" w:ascii="Calibri" w:hAnsi="Calibri"/>
          <w:sz w:val="24"/>
          <w:szCs w:val="24"/>
        </w:rPr>
        <w:t xml:space="preserve">Перелік основних тем, що входять до програми вивчення дисципліни 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“Вступ до штучного інтелекту”:</w:t>
      </w:r>
    </w:p>
    <w:p>
      <w:pPr>
        <w:pStyle w:val="Normal"/>
        <w:ind w:left="0" w:right="0" w:first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/>
          <w:i/>
          <w:i/>
          <w:sz w:val="24"/>
          <w:szCs w:val="24"/>
          <w:shd w:fill="auto" w:val="clear"/>
        </w:rPr>
      </w:pPr>
      <w:r>
        <w:rPr>
          <w:rFonts w:ascii="Calibri" w:hAnsi="Calibri"/>
          <w:b/>
          <w:i/>
          <w:sz w:val="24"/>
          <w:szCs w:val="24"/>
          <w:shd w:fill="auto" w:val="clear"/>
        </w:rPr>
        <w:t xml:space="preserve">Розділ 1. Вступ до </w:t>
      </w:r>
      <w:r>
        <w:rPr>
          <w:rFonts w:ascii="Calibri" w:hAnsi="Calibri"/>
          <w:b/>
          <w:i/>
          <w:sz w:val="24"/>
          <w:szCs w:val="24"/>
          <w:shd w:fill="auto" w:val="clear"/>
          <w:lang w:val="uk-UA" w:eastAsia="en-US"/>
        </w:rPr>
        <w:t>дисципліни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 xml:space="preserve">Тема 1.1. </w:t>
      </w:r>
      <w:r>
        <w:rPr>
          <w:rFonts w:ascii="Calibri" w:hAnsi="Calibri"/>
          <w:i/>
          <w:sz w:val="24"/>
          <w:szCs w:val="24"/>
          <w:shd w:fill="auto" w:val="clear"/>
          <w:lang w:val="uk-UA" w:eastAsia="en-US"/>
        </w:rPr>
        <w:t>Мета, предмет та актуальність дисципліни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/>
          <w:i/>
          <w:i/>
          <w:sz w:val="24"/>
          <w:szCs w:val="24"/>
          <w:shd w:fill="auto" w:val="clear"/>
        </w:rPr>
      </w:pPr>
      <w:r>
        <w:rPr>
          <w:rFonts w:ascii="Calibri" w:hAnsi="Calibri"/>
          <w:b/>
          <w:i/>
          <w:sz w:val="24"/>
          <w:szCs w:val="24"/>
          <w:shd w:fill="auto" w:val="clear"/>
        </w:rPr>
        <w:t>Розділ 2.</w:t>
      </w:r>
      <w:r>
        <w:rPr>
          <w:rFonts w:ascii="Calibri" w:hAnsi="Calibri"/>
          <w:b/>
          <w:i/>
          <w:sz w:val="24"/>
          <w:szCs w:val="24"/>
          <w:shd w:fill="auto" w:val="clear"/>
          <w:lang w:val="uk-UA" w:eastAsia="en-US"/>
        </w:rPr>
        <w:t>Системи контролю версій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 xml:space="preserve">Тема 2.1. </w:t>
      </w:r>
      <w:r>
        <w:rPr>
          <w:rFonts w:ascii="Calibri" w:hAnsi="Calibri"/>
          <w:i/>
          <w:sz w:val="24"/>
          <w:szCs w:val="24"/>
          <w:shd w:fill="auto" w:val="clear"/>
          <w:lang w:val="uk-UA" w:eastAsia="en-US"/>
        </w:rPr>
        <w:t>Історія систем контролю версій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>Тема 2.2. Базові команди та задачі системи контролю версій Git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>Тема 2.3. Командна розробка з використанням системи контролю версій Git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>Тема 2.4. Архітектура та внутрішня логіка роботи системи контролю версій Git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b/>
          <w:i/>
          <w:sz w:val="24"/>
          <w:szCs w:val="24"/>
          <w:shd w:fill="auto" w:val="clear"/>
        </w:rPr>
        <w:t xml:space="preserve">Розділ 3. Методології </w:t>
      </w:r>
      <w:r>
        <w:rPr>
          <w:rFonts w:ascii="Calibri" w:hAnsi="Calibri"/>
          <w:b/>
          <w:i/>
          <w:sz w:val="24"/>
          <w:szCs w:val="24"/>
          <w:shd w:fill="auto" w:val="clear"/>
          <w:lang w:val="uk-UA" w:eastAsia="en-US"/>
        </w:rPr>
        <w:t>при розробці програмного забезпечення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>Тема 3.1. Написання unit-тестів, антипаттерни при написанні unit-тестів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>Тема 3.2. Неперервна інтеграція при розробці на прикладі GitHub Actions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>Тема 3.3. Код-рев’ю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  <w:lang w:val="uk-UA" w:eastAsia="en-US"/>
        </w:rPr>
        <w:t>Тема 3.4. Практики екстремального програмування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  <w:lang w:val="uk-UA" w:eastAsia="en-US"/>
        </w:rPr>
        <w:t>Тема 3.5. Чиста архітектура та чистий код</w:t>
      </w:r>
    </w:p>
    <w:p>
      <w:pPr>
        <w:pStyle w:val="Normal"/>
        <w:spacing w:lineRule="auto" w:line="240"/>
        <w:ind w:left="708" w:right="0" w:hanging="0"/>
        <w:jc w:val="both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i/>
          <w:i/>
          <w:sz w:val="24"/>
          <w:szCs w:val="24"/>
          <w:shd w:fill="auto" w:val="clear"/>
        </w:rPr>
      </w:pPr>
      <w:r>
        <w:rPr>
          <w:rFonts w:ascii="Calibri" w:hAnsi="Calibri"/>
          <w:b/>
          <w:i/>
          <w:sz w:val="24"/>
          <w:szCs w:val="24"/>
          <w:shd w:fill="auto" w:val="clear"/>
          <w:lang w:val="uk-UA" w:eastAsia="en-US"/>
        </w:rPr>
        <w:t>Розділ 4. Підготовка програмного продукту до розгортання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Тема 4.1. Контейнеризація як метод доставки програманого продукту (на прикладі docker)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Тема 4.2. Безпека програмних продуктів та вразливості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Тема 4.3. Тестування навантаження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Тема 4.</w:t>
      </w: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4</w:t>
      </w: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. Логування та моніторинг програмного продукту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Тема 4.</w:t>
      </w: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5</w:t>
      </w: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. Дизайн прикладних програмних інтерфейсів (API)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Тема 4.</w:t>
      </w: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6</w:t>
      </w: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  <w:t>. Розробка та інфраструктура при розгортанні</w:t>
      </w:r>
    </w:p>
    <w:p>
      <w:pPr>
        <w:pStyle w:val="Normal"/>
        <w:spacing w:lineRule="auto" w:line="240"/>
        <w:ind w:left="0" w:right="0" w:firstLine="708"/>
        <w:jc w:val="both"/>
        <w:rPr>
          <w:rFonts w:ascii="Calibri" w:hAnsi="Calibri"/>
          <w:b w:val="false"/>
          <w:bCs w:val="false"/>
          <w:i/>
          <w:i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i/>
          <w:sz w:val="24"/>
          <w:szCs w:val="24"/>
          <w:shd w:fill="auto" w:val="clear"/>
        </w:rPr>
      </w:r>
    </w:p>
    <w:p>
      <w:pPr>
        <w:pStyle w:val="Normal"/>
        <w:spacing w:lineRule="auto" w:line="240"/>
        <w:ind w:right="0" w:hanging="0"/>
        <w:jc w:val="both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       </w:t>
      </w:r>
    </w:p>
    <w:p>
      <w:pPr>
        <w:pStyle w:val="Heading1"/>
        <w:rPr/>
      </w:pPr>
      <w:r>
        <w:rPr/>
        <w:t>Навчальні матеріали та ресурси</w:t>
      </w:r>
    </w:p>
    <w:p>
      <w:pPr>
        <w:pStyle w:val="Heading1"/>
        <w:numPr>
          <w:ilvl w:val="0"/>
          <w:numId w:val="0"/>
        </w:numPr>
        <w:spacing w:lineRule="auto" w:line="240"/>
        <w:ind w:left="720" w:right="0" w:hanging="0"/>
        <w:jc w:val="both"/>
        <w:rPr/>
      </w:pPr>
      <w:r>
        <w:rPr>
          <w:rFonts w:ascii="Calibri" w:hAnsi="Calibri"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4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Software Engineering at Google by Titus Winters, Tom Manshreck, Hyrum Wright. URL: </w:t>
      </w:r>
      <w:hyperlink r:id="rId4">
        <w:r>
          <w:rPr>
            <w:rStyle w:val="InternetLink"/>
            <w:rFonts w:ascii="Calibri" w:hAnsi="Calibri"/>
            <w:i/>
            <w:iCs/>
            <w:sz w:val="24"/>
            <w:szCs w:val="24"/>
          </w:rPr>
          <w:t>https://abseil.io/resources/swe-book</w:t>
        </w:r>
      </w:hyperlink>
    </w:p>
    <w:p>
      <w:pPr>
        <w:pStyle w:val="Normal"/>
        <w:numPr>
          <w:ilvl w:val="0"/>
          <w:numId w:val="11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  <w:shd w:fill="auto" w:val="clear"/>
        </w:rPr>
        <w:t xml:space="preserve">Building Secure and Reliable Systems by Heather Adkins, Betsy Beyer, Paul Blankinship, Ana Oprea, Piotr Lewandowski, Adam Stubblefield. URL: </w:t>
      </w:r>
      <w:hyperlink r:id="rId5">
        <w:r>
          <w:rPr>
            <w:rStyle w:val="InternetLink"/>
            <w:rFonts w:ascii="Calibri" w:hAnsi="Calibri"/>
            <w:i/>
            <w:sz w:val="24"/>
            <w:szCs w:val="24"/>
            <w:shd w:fill="auto" w:val="clear"/>
          </w:rPr>
          <w:t>https://sre.google/static/pdf/building_secure_and_reliable_systems.pdf</w:t>
        </w:r>
      </w:hyperlink>
    </w:p>
    <w:p>
      <w:pPr>
        <w:pStyle w:val="Normal"/>
        <w:spacing w:lineRule="auto" w:line="240"/>
        <w:jc w:val="both"/>
        <w:rPr>
          <w:i/>
          <w:i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ab/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  <w:shd w:fill="auto" w:val="clear"/>
        </w:rPr>
      </w:pPr>
      <w:r>
        <w:rPr>
          <w:i/>
          <w:sz w:val="24"/>
          <w:szCs w:val="24"/>
          <w:shd w:fill="auto" w:val="clear"/>
        </w:rPr>
      </w:r>
    </w:p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Навчальний контент</w:t>
      </w:r>
    </w:p>
    <w:p>
      <w:pPr>
        <w:pStyle w:val="Normal"/>
        <w:rPr/>
      </w:pPr>
      <w:r>
        <w:rPr/>
      </w:r>
    </w:p>
    <w:p>
      <w:pPr>
        <w:pStyle w:val="Heading1"/>
        <w:spacing w:lineRule="auto" w:line="240"/>
        <w:rPr/>
      </w:pPr>
      <w:r>
        <w:rPr/>
        <w:t>Методика опанування навчальної дисципліни (освітнього компонента)</w:t>
      </w:r>
    </w:p>
    <w:tbl>
      <w:tblPr>
        <w:tblW w:w="10191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902"/>
        <w:gridCol w:w="1104"/>
        <w:gridCol w:w="1276"/>
        <w:gridCol w:w="960"/>
      </w:tblGrid>
      <w:tr>
        <w:trPr>
          <w:trHeight w:val="312" w:hRule="atLeast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Назви розділів, тем</w:t>
            </w:r>
          </w:p>
        </w:tc>
        <w:tc>
          <w:tcPr>
            <w:tcW w:w="4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Кількість годин</w:t>
            </w:r>
          </w:p>
        </w:tc>
      </w:tr>
      <w:tr>
        <w:trPr>
          <w:trHeight w:val="312" w:hRule="atLeast"/>
        </w:trPr>
        <w:tc>
          <w:tcPr>
            <w:tcW w:w="5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ru-RU"/>
              </w:rPr>
              <w:t>У тому числі</w:t>
            </w:r>
          </w:p>
        </w:tc>
      </w:tr>
      <w:tr>
        <w:trPr>
          <w:trHeight w:val="636" w:hRule="atLeast"/>
        </w:trPr>
        <w:tc>
          <w:tcPr>
            <w:tcW w:w="5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eastAsia="ru-RU"/>
              </w:rPr>
              <w:t>Лекції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eastAsia="ru-RU"/>
              </w:rPr>
              <w:t>Практичні роботи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eastAsia="ru-RU"/>
              </w:rPr>
              <w:t>СРС</w:t>
            </w:r>
          </w:p>
        </w:tc>
      </w:tr>
      <w:tr>
        <w:trPr>
          <w:trHeight w:val="293" w:hRule="atLeast"/>
        </w:trPr>
        <w:tc>
          <w:tcPr>
            <w:tcW w:w="5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7" w:hRule="atLeast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b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Розділ 1. Вступ до дисципліни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1.1. Мета, предмет та актуальність дисципліни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uk-UA" w:eastAsia="ru-RU" w:bidi="ar-SA"/>
              </w:rPr>
              <w:t>6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uk-UA" w:eastAsia="ru-RU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2</w:t>
            </w:r>
          </w:p>
        </w:tc>
      </w:tr>
      <w:tr>
        <w:trPr>
          <w:trHeight w:val="1097" w:hRule="atLeast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b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Розділ 2.Системи контролю версій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2.1. Історія систем контролю версій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2.2. Базові команди та задачі системи контролю версій Git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2.3. Командна розробка з використанням системи контролю версій Git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2.4. Архітектура та внутрішня логіка роботи системи контролю версій Git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uk-UA" w:eastAsia="ru-RU" w:bidi="ar-SA"/>
              </w:rPr>
              <w:t>30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18</w:t>
            </w:r>
          </w:p>
        </w:tc>
      </w:tr>
      <w:tr>
        <w:trPr>
          <w:trHeight w:val="1596" w:hRule="atLeast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b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Розділ 3. Методології при розробці програмного забезпечення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3.1. Написання unit-тестів, антипаттерни при написанні unit-тестів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3.2. Неперервна інтеграція при розробці на прикладі GitHub Actions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3.3. Код-рев’ю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3.4. Практики екстремального програмування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Calibri" w:hAnsi="Calibri" w:cs="Calibri"/>
                <w:i w:val="false"/>
                <w:i w:val="false"/>
                <w:iCs w:val="false"/>
                <w:color w:val="000000"/>
                <w:shd w:fill="auto" w:val="clear"/>
                <w:lang w:val="uk-UA" w:eastAsia="ru-RU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3.5. Чиста архітектура та чистий код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uk-UA" w:eastAsia="ru-RU" w:bidi="ar-SA"/>
              </w:rPr>
              <w:t>40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22</w:t>
            </w:r>
          </w:p>
        </w:tc>
      </w:tr>
      <w:tr>
        <w:trPr>
          <w:trHeight w:val="1047" w:hRule="atLeast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b/>
                <w:i w:val="false"/>
                <w:iCs w:val="false"/>
                <w:sz w:val="22"/>
                <w:szCs w:val="22"/>
                <w:shd w:fill="auto" w:val="clear"/>
                <w:lang w:val="uk-UA" w:eastAsia="en-US"/>
              </w:rPr>
              <w:t>Розділ 4. Підготовка програмного продукту до розгортання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Тема 4.1. Контейнеризація як метод доставки програманого продукту (на прикладі docker)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Тема 4.2. Безпека програмних продуктів та вразливості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Cs w:val="fals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 xml:space="preserve">Тема 4.3.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Тестування навантаження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Cs w:val="fals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 xml:space="preserve">Тема 4.4.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Логування та моніторинг програмного продукту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Тема 4.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5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. Дизайн прикладних програмних інтерфейсів (API)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Тема 4.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6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uk-UA" w:eastAsia="ru-RU"/>
              </w:rPr>
              <w:t>. Розробка та інфраструктура при розгортанні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uk-UA" w:eastAsia="ru-RU" w:bidi="ar-SA"/>
              </w:rPr>
              <w:t>44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24</w:t>
            </w:r>
          </w:p>
        </w:tc>
      </w:tr>
      <w:tr>
        <w:trPr>
          <w:trHeight w:val="288" w:hRule="atLeast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Всього в семестрі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120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18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auto" w:val="clear"/>
                <w:lang w:val="uk-UA" w:eastAsia="ru-RU" w:bidi="ar-SA"/>
              </w:rPr>
              <w:t>66</w:t>
            </w:r>
          </w:p>
        </w:tc>
      </w:tr>
    </w:tbl>
    <w:p>
      <w:pPr>
        <w:pStyle w:val="Normal"/>
        <w:spacing w:lineRule="auto" w:line="240" w:before="0" w:after="120"/>
        <w:ind w:left="708" w:right="0" w:hanging="0"/>
        <w:jc w:val="both"/>
        <w:rPr>
          <w:rFonts w:ascii="Calibri" w:hAnsi="Calibri"/>
          <w:b/>
          <w:sz w:val="24"/>
          <w:szCs w:val="24"/>
          <w:shd w:fill="auto" w:val="clear"/>
        </w:rPr>
      </w:pPr>
      <w:r>
        <w:rPr>
          <w:rFonts w:ascii="Calibri" w:hAnsi="Calibri"/>
          <w:b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120"/>
        <w:ind w:left="708" w:right="0" w:hanging="0"/>
        <w:jc w:val="both"/>
        <w:rPr>
          <w:rFonts w:ascii="Calibri" w:hAnsi="Calibri"/>
          <w:b/>
          <w:sz w:val="24"/>
          <w:szCs w:val="24"/>
          <w:shd w:fill="auto" w:val="clear"/>
        </w:rPr>
      </w:pPr>
      <w:r>
        <w:rPr>
          <w:rFonts w:ascii="Calibri" w:hAnsi="Calibri"/>
          <w:b/>
          <w:sz w:val="24"/>
          <w:szCs w:val="24"/>
          <w:shd w:fill="auto" w:val="clear"/>
        </w:rPr>
        <w:t>Лабораторні заняття:</w:t>
      </w:r>
    </w:p>
    <w:p>
      <w:pPr>
        <w:pStyle w:val="Normal"/>
        <w:spacing w:lineRule="auto" w:line="240" w:before="0" w:after="120"/>
        <w:ind w:left="708" w:right="0" w:hanging="0"/>
        <w:jc w:val="both"/>
        <w:rPr>
          <w:rFonts w:ascii="Calibri" w:hAnsi="Calibri"/>
          <w:sz w:val="24"/>
          <w:szCs w:val="24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Метою проведення лабораторних занять є закріплення студентами  теоретичних знань та набуття необхідних практичних навичок роботи із сучасними технологіями </w:t>
      </w:r>
      <w:r>
        <w:rPr>
          <w:rFonts w:ascii="Calibri" w:hAnsi="Calibri"/>
          <w:sz w:val="24"/>
          <w:szCs w:val="24"/>
          <w:shd w:fill="auto" w:val="clear"/>
          <w:lang w:val="uk-UA" w:eastAsia="en-US"/>
        </w:rPr>
        <w:t>для систем зі штучним інтелектом</w:t>
      </w:r>
      <w:r>
        <w:rPr>
          <w:rFonts w:ascii="Calibri" w:hAnsi="Calibri"/>
          <w:sz w:val="24"/>
          <w:szCs w:val="24"/>
          <w:shd w:fill="auto" w:val="clear"/>
        </w:rPr>
        <w:t>.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Лабораторна робота №1: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Робота з системою контролю версій Git</w:t>
      </w:r>
      <w:r>
        <w:rPr>
          <w:rFonts w:ascii="Calibri" w:hAnsi="Calibri"/>
          <w:sz w:val="24"/>
          <w:szCs w:val="24"/>
          <w:shd w:fill="auto" w:val="clear"/>
        </w:rPr>
        <w:t>;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>Лабораторна робота №2: Написання Unit-тестів;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>Лабораторна робота №3: Контейнеризація за допомогою docker;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>Лабораторна робота №4: Командна робота над проєктом;</w:t>
      </w:r>
    </w:p>
    <w:p>
      <w:pPr>
        <w:pStyle w:val="Normal"/>
        <w:spacing w:lineRule="auto" w:line="240" w:before="0" w:after="120"/>
        <w:ind w:left="72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Heading1"/>
        <w:spacing w:lineRule="auto" w:line="240"/>
        <w:rPr/>
      </w:pPr>
      <w:r>
        <w:rPr/>
        <w:t>Самостійна робота студента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підготовка до лекційних занять по вивченню попереднього лекційного матеріалу;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підготовка до лабораторних робіт з вивченням теорії лабораторного заняття з усною відповіддю на наведені питання розділу;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оформлення результатів лабораторної роботи у вигляді протоколу.</w:t>
      </w:r>
    </w:p>
    <w:p>
      <w:pPr>
        <w:pStyle w:val="Normal"/>
        <w:spacing w:lineRule="auto" w:line="240" w:before="0" w:after="120"/>
        <w:jc w:val="both"/>
        <w:rPr>
          <w:rFonts w:ascii="Calibri" w:hAnsi="Calibri"/>
          <w:i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</w:r>
    </w:p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Політика та контроль</w:t>
      </w:r>
    </w:p>
    <w:p>
      <w:pPr>
        <w:pStyle w:val="Heading1"/>
        <w:spacing w:lineRule="auto" w:line="240"/>
        <w:rPr/>
      </w:pPr>
      <w:r>
        <w:rPr/>
        <w:t>Політика навчальної дисципліни (освітнього компонента)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Під час занять з навчальної дисципліни студенти повинні дотримуватись певних дисциплінарних правил: 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ind w:left="720" w:right="0" w:hanging="3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не допускаються сторонні розмови або інший шум, що заважає проведенню занять;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ind w:left="720" w:right="0" w:hanging="360"/>
        <w:contextualSpacing/>
        <w:jc w:val="both"/>
        <w:rPr/>
      </w:pPr>
      <w:r>
        <w:rPr>
          <w:rFonts w:ascii="Calibri" w:hAnsi="Calibri"/>
          <w:sz w:val="24"/>
          <w:szCs w:val="24"/>
        </w:rPr>
        <w:t>не допускається користування мобільними телефонами та іншими технічними засобами без дозволу викладача.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 w:before="0" w:after="1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Лабораторні роботи здаються особисто з попередньою перевіркою теоретичних знань, які необхідні для виконання лабораторної роботи. Перевірка практичних результатів включає перевірку коду та виконання тестових завдань.</w:t>
      </w:r>
    </w:p>
    <w:p>
      <w:pPr>
        <w:pStyle w:val="ListParagraph"/>
        <w:spacing w:lineRule="auto" w:line="240" w:before="0" w:after="120"/>
        <w:ind w:left="360" w:right="0" w:hanging="0"/>
        <w:contextualSpacing/>
        <w:jc w:val="both"/>
        <w:rPr>
          <w:rFonts w:ascii="Calibri" w:hAnsi="Calibri"/>
          <w:i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</w:r>
    </w:p>
    <w:p>
      <w:pPr>
        <w:pStyle w:val="Heading1"/>
        <w:spacing w:lineRule="auto" w:line="240"/>
        <w:rPr>
          <w:shd w:fill="auto" w:val="clear"/>
        </w:rPr>
      </w:pPr>
      <w:r>
        <w:rPr>
          <w:shd w:fill="auto" w:val="clear"/>
        </w:rPr>
        <w:t>Види контролю та рейтингова система оцінювання результатів навчання (РСО)</w:t>
      </w:r>
    </w:p>
    <w:p>
      <w:pPr>
        <w:pStyle w:val="Normal"/>
        <w:spacing w:lineRule="auto" w:line="240"/>
        <w:ind w:left="708" w:right="0" w:hanging="0"/>
        <w:jc w:val="both"/>
        <w:rPr/>
      </w:pPr>
      <w:r>
        <w:rPr>
          <w:rFonts w:ascii="Calibri" w:hAnsi="Calibri"/>
          <w:sz w:val="24"/>
          <w:szCs w:val="24"/>
        </w:rPr>
        <w:t xml:space="preserve">Поточний контроль: </w:t>
      </w:r>
      <w:r>
        <w:rPr>
          <w:rFonts w:ascii="Calibri" w:hAnsi="Calibri"/>
          <w:color w:val="0070C0"/>
          <w:sz w:val="24"/>
          <w:szCs w:val="24"/>
        </w:rPr>
        <w:t>опитування за темою заняття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Календарний контроль: проводиться двічі на семестр як моніторинг поточного стану виконання вимог силабусу.</w:t>
      </w:r>
    </w:p>
    <w:p>
      <w:pPr>
        <w:pStyle w:val="ListParagraph"/>
        <w:spacing w:lineRule="auto" w:line="240" w:before="0" w:after="0"/>
        <w:ind w:left="708" w:right="0" w:hanging="0"/>
        <w:contextualSpacing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Семестровий контроль: </w:t>
      </w:r>
      <w:r>
        <w:rPr>
          <w:rFonts w:eastAsia="Times New Roman" w:cs="Times New Roman" w:ascii="Calibri" w:hAnsi="Calibri"/>
          <w:color w:val="0070C0"/>
          <w:kern w:val="0"/>
          <w:sz w:val="24"/>
          <w:szCs w:val="24"/>
          <w:shd w:fill="auto" w:val="clear"/>
          <w:lang w:val="uk-UA" w:eastAsia="en-US" w:bidi="ar-SA"/>
        </w:rPr>
        <w:t>залік</w:t>
      </w:r>
    </w:p>
    <w:p>
      <w:pPr>
        <w:pStyle w:val="Normal"/>
        <w:spacing w:lineRule="auto" w:line="240"/>
        <w:ind w:left="708" w:right="0" w:hanging="0"/>
        <w:jc w:val="both"/>
        <w:rPr/>
      </w:pPr>
      <w:r>
        <w:rPr>
          <w:rFonts w:ascii="Calibri" w:hAnsi="Calibri"/>
          <w:sz w:val="24"/>
          <w:szCs w:val="24"/>
        </w:rPr>
        <w:t xml:space="preserve">Умови допуску до семестрового контролю: </w:t>
      </w:r>
      <w:r>
        <w:rPr>
          <w:rFonts w:ascii="Calibri" w:hAnsi="Calibri"/>
          <w:color w:val="0070C0"/>
          <w:sz w:val="24"/>
          <w:szCs w:val="24"/>
        </w:rPr>
        <w:t>зарахування усіх лабораторних робіт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</w:r>
    </w:p>
    <w:p>
      <w:pPr>
        <w:pStyle w:val="Normal"/>
        <w:spacing w:lineRule="auto" w:line="240"/>
        <w:ind w:left="708" w:right="0" w:hanging="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fill="auto" w:val="clear"/>
        </w:rPr>
        <w:t>Таблиця 1 — Максимальні бали за окремі лабораторні роботи</w:t>
      </w:r>
    </w:p>
    <w:tbl>
      <w:tblPr>
        <w:tblW w:w="6637" w:type="dxa"/>
        <w:jc w:val="left"/>
        <w:tblInd w:w="16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89"/>
        <w:gridCol w:w="3147"/>
      </w:tblGrid>
      <w:tr>
        <w:trPr/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Лабораторна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  <w:lang w:val="uk-UA" w:eastAsia="en-US"/>
              </w:rPr>
              <w:t>Всього за видом роботи</w:t>
            </w:r>
          </w:p>
        </w:tc>
      </w:tr>
      <w:tr>
        <w:trPr/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Лабораторна робота №1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Лабораторна робота №2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Лабораторна робота №3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Лабораторна робота №4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/>
            </w:r>
            <m:oMathPara xmlns:m="http://schemas.openxmlformats.org/officeDocument/2006/math">
              <m:oMathParaPr>
                <m:jc m:val="right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л</m:t>
                    </m:r>
                  </m:sub>
                </m:sSub>
              </m:oMath>
            </m:oMathPara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80</w:t>
            </w:r>
          </w:p>
        </w:tc>
      </w:tr>
    </w:tbl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  <w:shd w:fill="FFFF00" w:val="clear"/>
        </w:rPr>
      </w:pPr>
      <w:r>
        <w:rPr>
          <w:rFonts w:ascii="Calibri" w:hAnsi="Calibri"/>
          <w:sz w:val="24"/>
          <w:szCs w:val="24"/>
          <w:shd w:fill="FFFF00" w:val="clear"/>
        </w:rPr>
      </w:r>
    </w:p>
    <w:p>
      <w:pPr>
        <w:pStyle w:val="Normal"/>
        <w:spacing w:lineRule="auto" w:line="240"/>
        <w:ind w:left="708" w:right="0" w:hanging="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Максимальна оцінка за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залік</w:t>
      </w:r>
      <w:r>
        <w:rPr>
          <w:rFonts w:ascii="Calibri" w:hAnsi="Calibri"/>
          <w:sz w:val="24"/>
          <w:szCs w:val="24"/>
          <w:shd w:fill="auto" w:val="clear"/>
        </w:rPr>
        <w:t xml:space="preserve"> (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з</m:t>
            </m:r>
          </m:sub>
        </m:sSub>
      </m:oMath>
      <w:r>
        <w:rPr>
          <w:rFonts w:ascii="Calibri" w:hAnsi="Calibri"/>
          <w:sz w:val="24"/>
          <w:szCs w:val="24"/>
          <w:shd w:fill="auto" w:val="clear"/>
        </w:rPr>
        <w:t>) складає 20 балів:</w:t>
      </w:r>
    </w:p>
    <w:p>
      <w:pPr>
        <w:pStyle w:val="Normal"/>
        <w:spacing w:lineRule="auto" w:line="240"/>
        <w:ind w:left="708" w:right="0" w:hanging="0"/>
        <w:jc w:val="center"/>
        <w:rPr>
          <w:shd w:fill="auto" w:val="clear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R</m:t>
              </m:r>
            </m:e>
            <m:sub>
              <m:r>
                <w:rPr>
                  <w:rFonts w:ascii="Cambria Math" w:hAnsi="Cambria Math"/>
                </w:rPr>
                <m:t xml:space="preserve">з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</m:oMath>
      </m:oMathPara>
    </w:p>
    <w:p>
      <w:pPr>
        <w:pStyle w:val="Normal"/>
        <w:spacing w:lineRule="auto" w:line="240"/>
        <w:ind w:left="708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/>
        <w:ind w:left="708" w:right="0" w:hanging="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Семестровий рейтинг студента із </w:t>
      </w:r>
      <w:r>
        <w:rPr>
          <w:rFonts w:ascii="Calibri" w:hAnsi="Calibri"/>
          <w:sz w:val="24"/>
          <w:szCs w:val="24"/>
          <w:shd w:fill="auto" w:val="clear"/>
          <w:lang w:val="uk-UA" w:eastAsia="en-US"/>
        </w:rPr>
        <w:t>дисципліни</w:t>
      </w:r>
      <w:r>
        <w:rPr>
          <w:rFonts w:ascii="Calibri" w:hAnsi="Calibri"/>
          <w:sz w:val="24"/>
          <w:szCs w:val="24"/>
          <w:shd w:fill="auto" w:val="clear"/>
        </w:rPr>
        <w:t xml:space="preserve"> складається з оцінок за: лабораторні роботи (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л</m:t>
            </m:r>
          </m:sub>
        </m:sSub>
      </m:oMath>
      <w:r>
        <w:rPr>
          <w:rFonts w:ascii="Calibri" w:hAnsi="Calibri"/>
          <w:sz w:val="24"/>
          <w:szCs w:val="24"/>
          <w:shd w:fill="auto" w:val="clear"/>
        </w:rPr>
        <w:t xml:space="preserve">) та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залік</w:t>
      </w:r>
      <w:r>
        <w:rPr>
          <w:rFonts w:ascii="Calibri" w:hAnsi="Calibri"/>
          <w:sz w:val="24"/>
          <w:szCs w:val="24"/>
          <w:shd w:fill="auto" w:val="clear"/>
        </w:rPr>
        <w:t xml:space="preserve"> (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з</m:t>
            </m:r>
          </m:sub>
        </m:sSub>
      </m:oMath>
      <w:r>
        <w:rPr>
          <w:rFonts w:ascii="Calibri" w:hAnsi="Calibri"/>
          <w:sz w:val="24"/>
          <w:szCs w:val="24"/>
          <w:shd w:fill="auto" w:val="clear"/>
        </w:rPr>
        <w:t>).</w:t>
      </w:r>
    </w:p>
    <w:p>
      <w:pPr>
        <w:pStyle w:val="Normal"/>
        <w:spacing w:lineRule="auto" w:line="240"/>
        <w:ind w:left="708" w:right="0" w:hanging="0"/>
        <w:jc w:val="center"/>
        <w:rPr>
          <w:rFonts w:ascii="Calibri" w:hAnsi="Calibri"/>
          <w:sz w:val="24"/>
          <w:szCs w:val="24"/>
          <w:shd w:fill="FFFF00" w:val="clear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R</m:t>
          </m:r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R</m:t>
              </m:r>
            </m:e>
            <m:sub>
              <m:r>
                <w:rPr>
                  <w:rFonts w:ascii="Cambria Math" w:hAnsi="Cambria Math"/>
                </w:rPr>
                <m:t xml:space="preserve">л</m:t>
              </m:r>
            </m:sub>
          </m:sSub>
          <m:r>
            <w:rPr>
              <w:rFonts w:ascii="Cambria Math" w:hAnsi="Cambria Math"/>
            </w:rPr>
            <m:t xml:space="preserve">+</m:t>
          </m:r>
          <m:sSub>
            <m:e>
              <m:r>
                <w:rPr>
                  <w:rFonts w:ascii="Cambria Math" w:hAnsi="Cambria Math"/>
                </w:rPr>
                <m:t xml:space="preserve">R</m:t>
              </m:r>
            </m:e>
            <m:sub>
              <m:r>
                <w:rPr>
                  <w:rFonts w:ascii="Cambria Math" w:hAnsi="Cambria Math"/>
                </w:rPr>
                <m:t xml:space="preserve">з</m:t>
              </m:r>
            </m:sub>
          </m:sSub>
        </m:oMath>
      </m:oMathPara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  <w:shd w:fill="FFFF00" w:val="clear"/>
        </w:rPr>
      </w:pPr>
      <w:r>
        <w:rPr>
          <w:rFonts w:ascii="Calibri" w:hAnsi="Calibri"/>
          <w:sz w:val="24"/>
          <w:szCs w:val="24"/>
          <w:shd w:fill="FFFF00" w:val="clear"/>
        </w:rPr>
      </w:r>
    </w:p>
    <w:p>
      <w:pPr>
        <w:pStyle w:val="Normal"/>
        <w:spacing w:lineRule="auto" w:line="240"/>
        <w:ind w:left="708" w:right="0" w:hanging="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Студент має можливість отримати оцінку за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залік</w:t>
      </w:r>
      <w:r>
        <w:rPr>
          <w:rFonts w:ascii="Calibri" w:hAnsi="Calibri"/>
          <w:sz w:val="24"/>
          <w:szCs w:val="24"/>
          <w:shd w:fill="auto" w:val="clear"/>
        </w:rPr>
        <w:t xml:space="preserve"> автоматом (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а</m:t>
            </m:r>
          </m:sub>
        </m:sSub>
      </m:oMath>
      <w:r>
        <w:rPr>
          <w:rFonts w:ascii="Calibri" w:hAnsi="Calibri"/>
          <w:sz w:val="24"/>
          <w:szCs w:val="24"/>
          <w:shd w:fill="auto" w:val="clear"/>
        </w:rPr>
        <w:t xml:space="preserve">). Для цього необхідно виконати умови допуску до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семестрового контролю до початку залікової сесії</w:t>
      </w:r>
      <w:r>
        <w:rPr>
          <w:rFonts w:ascii="Calibri" w:hAnsi="Calibri"/>
          <w:sz w:val="24"/>
          <w:szCs w:val="24"/>
          <w:shd w:fill="auto" w:val="clear"/>
        </w:rPr>
        <w:t>. В такому випадку оцінку за дисципліну складатиме:</w:t>
      </w:r>
    </w:p>
    <w:p>
      <w:pPr>
        <w:pStyle w:val="Normal"/>
        <w:spacing w:lineRule="auto" w:line="240"/>
        <w:ind w:left="708" w:right="0" w:hanging="0"/>
        <w:jc w:val="center"/>
        <w:rPr>
          <w:rFonts w:ascii="Calibri" w:hAnsi="Calibri"/>
          <w:sz w:val="24"/>
          <w:szCs w:val="24"/>
          <w:shd w:fill="FFFF00" w:val="clear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R</m:t>
          </m:r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R</m:t>
              </m:r>
            </m:e>
            <m:sub>
              <m:r>
                <w:rPr>
                  <w:rFonts w:ascii="Cambria Math" w:hAnsi="Cambria Math"/>
                </w:rPr>
                <m:t xml:space="preserve">а</m:t>
              </m:r>
            </m:sub>
          </m:sSub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R</m:t>
              </m:r>
            </m:e>
            <m:sub>
              <m:r>
                <w:rPr>
                  <w:rFonts w:ascii="Cambria Math" w:hAnsi="Cambria Math"/>
                </w:rPr>
                <m:t xml:space="preserve">л</m:t>
              </m:r>
            </m:sub>
          </m:sSub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1.25</m:t>
          </m:r>
        </m:oMath>
      </m:oMathPara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  <w:shd w:fill="FFFF00" w:val="clear"/>
        </w:rPr>
      </w:pPr>
      <w:r>
        <w:rPr>
          <w:rFonts w:ascii="Calibri" w:hAnsi="Calibri"/>
          <w:sz w:val="24"/>
          <w:szCs w:val="24"/>
          <w:shd w:fill="FFFF00" w:val="clear"/>
        </w:rPr>
      </w:r>
    </w:p>
    <w:p>
      <w:pPr>
        <w:pStyle w:val="Normal"/>
        <w:spacing w:lineRule="auto" w:line="240"/>
        <w:ind w:left="708" w:right="0" w:hanging="0"/>
        <w:jc w:val="both"/>
        <w:rPr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В разі якщо роботи здаються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у період залікової сесії</w:t>
      </w:r>
      <w:r>
        <w:rPr>
          <w:rFonts w:ascii="Calibri" w:hAnsi="Calibri"/>
          <w:sz w:val="24"/>
          <w:szCs w:val="24"/>
          <w:shd w:fill="auto" w:val="clear"/>
        </w:rPr>
        <w:t xml:space="preserve">, студент втрачає право на зарахування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заліку</w:t>
      </w:r>
      <w:r>
        <w:rPr>
          <w:rFonts w:ascii="Calibri" w:hAnsi="Calibri"/>
          <w:sz w:val="24"/>
          <w:szCs w:val="24"/>
          <w:shd w:fill="auto" w:val="clear"/>
        </w:rPr>
        <w:t xml:space="preserve"> автоматом. 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В цьому випадку максимальн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  <w:lang w:val="uk-UA" w:eastAsia="en-US"/>
        </w:rPr>
        <w:t>ий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  <w:lang w:val="uk-UA" w:eastAsia="en-US"/>
        </w:rPr>
        <w:t>бал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 xml:space="preserve"> за відповідну робот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  <w:lang w:val="uk-UA" w:eastAsia="en-US"/>
        </w:rPr>
        <w:t>у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 xml:space="preserve"> складатиме 60% від зазначеного в таблиці 1.</w:t>
      </w:r>
    </w:p>
    <w:p>
      <w:pPr>
        <w:pStyle w:val="LO-normal"/>
        <w:widowControl/>
        <w:suppressAutoHyphens w:val="true"/>
        <w:bidi w:val="0"/>
        <w:spacing w:lineRule="auto" w:line="276" w:before="0" w:after="0"/>
        <w:ind w:left="737" w:right="0" w:hanging="0"/>
        <w:jc w:val="center"/>
        <w:rPr>
          <w:rFonts w:ascii="Calibri" w:hAnsi="Calibri"/>
          <w:bCs/>
          <w:sz w:val="24"/>
          <w:szCs w:val="24"/>
          <w:shd w:fill="FFFF00" w:val="clear"/>
        </w:rPr>
      </w:pPr>
      <w:r>
        <w:rPr>
          <w:rFonts w:ascii="Calibri" w:hAnsi="Calibri"/>
          <w:bCs/>
          <w:sz w:val="24"/>
          <w:szCs w:val="24"/>
          <w:shd w:fill="FFFF00" w:val="clear"/>
        </w:rPr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>
          <w:shd w:fill="FFFF00" w:val="clear"/>
        </w:rPr>
      </w:pPr>
      <w:r>
        <w:rPr>
          <w:rFonts w:ascii="Calibri" w:hAnsi="Calibri"/>
          <w:bCs/>
          <w:sz w:val="24"/>
          <w:szCs w:val="24"/>
          <w:shd w:fill="auto" w:val="clear"/>
        </w:rPr>
        <w:tab/>
        <w:t>Таблиця 2 — Відповідн</w:t>
      </w:r>
      <w:r>
        <w:rPr>
          <w:rFonts w:ascii="Calibri" w:hAnsi="Calibri"/>
          <w:bCs/>
          <w:sz w:val="24"/>
          <w:szCs w:val="24"/>
          <w:shd w:fill="auto" w:val="clear"/>
          <w:lang w:val="uk-UA" w:eastAsia="en-US"/>
        </w:rPr>
        <w:t>ість</w:t>
      </w:r>
      <w:r>
        <w:rPr>
          <w:rFonts w:ascii="Calibri" w:hAnsi="Calibri"/>
          <w:bCs/>
          <w:sz w:val="24"/>
          <w:szCs w:val="24"/>
          <w:shd w:fill="auto" w:val="clear"/>
        </w:rPr>
        <w:t xml:space="preserve"> рейтингових балів оцінкам за університетською шкалою</w:t>
      </w:r>
    </w:p>
    <w:tbl>
      <w:tblPr>
        <w:tblW w:w="6096" w:type="dxa"/>
        <w:jc w:val="left"/>
        <w:tblInd w:w="704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118"/>
        <w:gridCol w:w="2977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i/>
                <w:i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Оцінка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Відмінно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Дуже добре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Добре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Задовільно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Достатньо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Незадовільно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 допущено</w:t>
            </w:r>
          </w:p>
        </w:tc>
      </w:tr>
    </w:tbl>
    <w:p>
      <w:pPr>
        <w:pStyle w:val="Heading1"/>
        <w:numPr>
          <w:ilvl w:val="0"/>
          <w:numId w:val="0"/>
        </w:numPr>
        <w:spacing w:lineRule="auto" w:line="240"/>
        <w:ind w:left="360" w:right="0" w:hanging="0"/>
        <w:rPr/>
      </w:pPr>
      <w:r>
        <w:rPr/>
      </w:r>
    </w:p>
    <w:p>
      <w:pPr>
        <w:pStyle w:val="Heading1"/>
        <w:spacing w:lineRule="auto" w:line="240"/>
        <w:rPr/>
      </w:pPr>
      <w:r>
        <w:rPr/>
        <w:t>Додаткова інформація з дисципліни (освітнього компонента)</w:t>
      </w:r>
    </w:p>
    <w:p>
      <w:pPr>
        <w:pStyle w:val="Normal"/>
        <w:spacing w:lineRule="auto" w:line="240" w:before="0" w:after="120"/>
        <w:ind w:left="708" w:right="0" w:hanging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теоретичні та практичні питання, що виносяться під час захисту лабораторних робіт та семестрового контролю, відповідають переліку основних тем, що входять до програми вивчення дисципліни “Методології та технології розроб</w:t>
      </w:r>
      <w:r>
        <w:rPr>
          <w:rFonts w:ascii="Calibri" w:hAnsi="Calibri"/>
          <w:bCs/>
          <w:sz w:val="24"/>
          <w:szCs w:val="24"/>
        </w:rPr>
        <w:t>лення</w:t>
      </w:r>
      <w:r>
        <w:rPr>
          <w:rFonts w:ascii="Calibri" w:hAnsi="Calibri"/>
          <w:bCs/>
          <w:sz w:val="24"/>
          <w:szCs w:val="24"/>
        </w:rPr>
        <w:t xml:space="preserve"> програмного забезпечення”.</w:t>
      </w:r>
    </w:p>
    <w:p>
      <w:pPr>
        <w:pStyle w:val="Normal"/>
        <w:spacing w:lineRule="auto" w:line="240" w:before="0" w:after="120"/>
        <w:ind w:left="708" w:right="0" w:hanging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Робочу програму навчальної дисципліни (силабус):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Calibri" w:hAnsi="Calibri"/>
          <w:b/>
          <w:bCs/>
          <w:sz w:val="22"/>
          <w:szCs w:val="22"/>
        </w:rPr>
        <w:t>Скла</w:t>
      </w:r>
      <w:r>
        <w:rPr>
          <w:rFonts w:ascii="Calibri" w:hAnsi="Calibri"/>
          <w:b/>
          <w:bCs/>
          <w:sz w:val="22"/>
          <w:szCs w:val="22"/>
          <w:lang w:val="uk-UA" w:eastAsia="en-US"/>
        </w:rPr>
        <w:t>в</w:t>
      </w:r>
      <w:r>
        <w:rPr>
          <w:rFonts w:ascii="Calibri" w:hAnsi="Calibri"/>
          <w:sz w:val="22"/>
          <w:szCs w:val="22"/>
        </w:rPr>
        <w:t xml:space="preserve"> асистент кафедри обчислювальної техніки, Ковальчук О. М.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Calibri" w:hAnsi="Calibri"/>
          <w:b/>
          <w:bCs/>
          <w:sz w:val="22"/>
          <w:szCs w:val="22"/>
        </w:rPr>
        <w:t>Ухвалено</w:t>
      </w:r>
      <w:r>
        <w:rPr>
          <w:rFonts w:ascii="Calibri" w:hAnsi="Calibri"/>
          <w:sz w:val="22"/>
          <w:szCs w:val="22"/>
        </w:rPr>
        <w:t xml:space="preserve"> кафедрою  обчислювальної техніки (</w:t>
      </w:r>
      <w:bookmarkStart w:id="0" w:name="docs-internal-guid-6ec273e6-7fff-565d-58"/>
      <w:bookmarkEnd w:id="0"/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протокол № 13 від 10.05.2023</w:t>
      </w:r>
      <w:r>
        <w:rPr>
          <w:rFonts w:ascii="Calibri" w:hAnsi="Calibri"/>
          <w:sz w:val="22"/>
          <w:szCs w:val="22"/>
        </w:rPr>
        <w:t>)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Calibri" w:hAnsi="Calibri"/>
          <w:b/>
          <w:bCs/>
          <w:sz w:val="22"/>
          <w:szCs w:val="22"/>
        </w:rPr>
        <w:t xml:space="preserve">Погоджено </w:t>
      </w:r>
      <w:r>
        <w:rPr>
          <w:rFonts w:ascii="Calibri" w:hAnsi="Calibri"/>
          <w:sz w:val="22"/>
          <w:szCs w:val="22"/>
        </w:rPr>
        <w:t>методичною комісією факультету (</w:t>
      </w:r>
      <w:bookmarkStart w:id="1" w:name="docs-internal-guid-59d5ea1d-7fff-9485-78"/>
      <w:bookmarkEnd w:id="1"/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протокол № 11 від 29.06.2023</w:t>
      </w:r>
      <w:r>
        <w:rPr>
          <w:rFonts w:ascii="Calibri" w:hAnsi="Calibri"/>
          <w:sz w:val="22"/>
          <w:szCs w:val="22"/>
        </w:rPr>
        <w:t>)</w:t>
      </w:r>
    </w:p>
    <w:p>
      <w:pPr>
        <w:pStyle w:val="Normal"/>
        <w:spacing w:lineRule="auto" w:line="240" w:before="0" w:after="120"/>
        <w:jc w:val="both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9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en-US" w:bidi="ar-SA"/>
    </w:rPr>
  </w:style>
  <w:style w:type="paragraph" w:styleId="Heading1">
    <w:name w:val="Heading 1"/>
    <w:basedOn w:val="ListParagraph"/>
    <w:next w:val="Normal"/>
    <w:qFormat/>
    <w:pPr>
      <w:keepNext w:val="true"/>
      <w:numPr>
        <w:ilvl w:val="0"/>
        <w:numId w:val="1"/>
      </w:numPr>
      <w:tabs>
        <w:tab w:val="clear" w:pos="708"/>
        <w:tab w:val="left" w:pos="284" w:leader="none"/>
      </w:tabs>
      <w:spacing w:lineRule="auto" w:line="216" w:before="120" w:after="120"/>
      <w:contextualSpacing w:val="false"/>
      <w:outlineLvl w:val="0"/>
    </w:pPr>
    <w:rPr>
      <w:rFonts w:ascii="Calibri" w:hAnsi="Calibri"/>
      <w:b/>
      <w:color w:val="002060"/>
      <w:sz w:val="24"/>
      <w:szCs w:val="24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qFormat/>
    <w:rPr>
      <w:rFonts w:ascii="Calibri" w:hAnsi="Calibri" w:cs="Times New Roman"/>
      <w:b/>
      <w:color w:val="002060"/>
      <w:sz w:val="24"/>
      <w:szCs w:val="24"/>
      <w:lang w:val="uk-UA" w:eastAsia="en-US"/>
    </w:rPr>
  </w:style>
  <w:style w:type="character" w:styleId="-">
    <w:name w:val="Интернет-ссылка"/>
    <w:qFormat/>
    <w:rPr>
      <w:rFonts w:cs="Times New Roman"/>
      <w:color w:val="0000FF"/>
      <w:u w:val="single"/>
    </w:rPr>
  </w:style>
  <w:style w:type="character" w:styleId="11">
    <w:name w:val="Основной шрифт абзаца1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val="uk-UA" w:eastAsia="en-US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Style14">
    <w:name w:val="Текст примечания Знак"/>
    <w:qFormat/>
    <w:rPr>
      <w:rFonts w:eastAsia="Times New Roman" w:cs="Times New Roman"/>
      <w:lang w:val="uk-UA" w:eastAsia="en-US"/>
    </w:rPr>
  </w:style>
  <w:style w:type="character" w:styleId="Style15">
    <w:name w:val="Тема примечания Знак"/>
    <w:qFormat/>
    <w:rPr>
      <w:rFonts w:eastAsia="Times New Roman" w:cs="Times New Roman"/>
      <w:b/>
      <w:bCs/>
      <w:lang w:val="uk-UA" w:eastAsia="en-US"/>
    </w:rPr>
  </w:style>
  <w:style w:type="character" w:styleId="Style16">
    <w:name w:val="Текст сноски Знак"/>
    <w:qFormat/>
    <w:rPr>
      <w:rFonts w:eastAsia="Times New Roman" w:cs="Times New Roman"/>
      <w:lang w:val="uk-UA" w:eastAsia="en-US"/>
    </w:rPr>
  </w:style>
  <w:style w:type="character" w:styleId="Style17">
    <w:name w:val="Привязка сноски"/>
    <w:qFormat/>
    <w:rPr>
      <w:rFonts w:cs="Times New Roman"/>
      <w:vertAlign w:val="superscript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Style18">
    <w:name w:val="Верхний колонтитул Знак"/>
    <w:qFormat/>
    <w:rPr>
      <w:sz w:val="28"/>
      <w:szCs w:val="28"/>
      <w:lang w:val="uk-UA" w:eastAsia="en-US"/>
    </w:rPr>
  </w:style>
  <w:style w:type="character" w:styleId="Style19">
    <w:name w:val="Нижний колонтитул Знак"/>
    <w:qFormat/>
    <w:rPr>
      <w:sz w:val="28"/>
      <w:szCs w:val="28"/>
      <w:lang w:val="uk-UA" w:eastAsia="en-US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en-US" w:bidi="ar-SA"/>
    </w:rPr>
  </w:style>
  <w:style w:type="paragraph" w:styleId="Footnote">
    <w:name w:val="Footnote Text"/>
    <w:basedOn w:val="Normal"/>
    <w:pPr>
      <w:spacing w:lineRule="auto" w:line="240"/>
    </w:pPr>
    <w:rPr>
      <w:sz w:val="20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Верхній і нижній колонтитули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lassroom.google.com/u/0/c/NTkyNTg0NDQ3NjI5" TargetMode="External"/><Relationship Id="rId4" Type="http://schemas.openxmlformats.org/officeDocument/2006/relationships/hyperlink" Target="https://abseil.io/resources/swe-book" TargetMode="External"/><Relationship Id="rId5" Type="http://schemas.openxmlformats.org/officeDocument/2006/relationships/hyperlink" Target="https://abseil.io/resources/swe-boo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Application>LibreOffice/7.5.5.2$Linux_X86_64 LibreOffice_project/50$Build-2</Application>
  <AppVersion>15.0000</AppVersion>
  <Pages>5</Pages>
  <Words>1248</Words>
  <Characters>8776</Characters>
  <CharactersWithSpaces>9828</CharactersWithSpaces>
  <Paragraphs>200</Paragraphs>
  <Company>NMV KPI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2021-09-25T12:19:00Z</dcterms:created>
  <dc:creator/>
  <dc:description/>
  <dc:language>uk-UA</dc:language>
  <cp:lastModifiedBy/>
  <cp:lastPrinted>2020-09-07T13:50:00Z</cp:lastPrinted>
  <dcterms:modified xsi:type="dcterms:W3CDTF">2023-09-18T13:58:10Z</dcterms:modified>
  <cp:revision>54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