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1300"/>
        <w:gridCol w:w="3236"/>
      </w:tblGrid>
      <w:tr>
        <w:trPr>
          <w:trHeight w:val="416" w:hRule="atLeast"/>
        </w:trPr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/>
              <w:ind w:left="-57" w:right="0" w:hanging="0"/>
              <w:rPr/>
            </w:pPr>
            <w:r>
              <w:rPr/>
              <w:drawing>
                <wp:inline distT="0" distB="0" distL="0" distR="0">
                  <wp:extent cx="2949575" cy="54165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ind w:left="-71" w:right="0" w:hanging="0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</w:r>
          </w:p>
        </w:tc>
        <w:tc>
          <w:tcPr>
            <w:tcW w:w="32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Кафедра обчислювальної техніки</w:t>
            </w:r>
          </w:p>
        </w:tc>
      </w:tr>
      <w:tr>
        <w:trPr>
          <w:trHeight w:val="628" w:hRule="atLeast"/>
        </w:trPr>
        <w:tc>
          <w:tcPr>
            <w:tcW w:w="10206" w:type="dxa"/>
            <w:gridSpan w:val="3"/>
            <w:tcBorders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/>
                <w:b/>
                <w:color w:val="00206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2060"/>
                <w:sz w:val="48"/>
                <w:szCs w:val="48"/>
              </w:rPr>
              <w:t>Методології і технології розроблення програмного забезпечення. Курсова робота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2060"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>
      <w:pPr>
        <w:pStyle w:val="Heading1"/>
        <w:numPr>
          <w:ilvl w:val="0"/>
          <w:numId w:val="0"/>
        </w:numPr>
        <w:shd w:val="clear" w:fill="BFBFBF"/>
        <w:spacing w:lineRule="auto" w:line="240"/>
        <w:ind w:left="0" w:right="0" w:hanging="0"/>
        <w:jc w:val="center"/>
        <w:rPr/>
      </w:pPr>
      <w:r>
        <w:rPr/>
        <w:t>Реквізити навчальної дисципліни</w:t>
      </w:r>
    </w:p>
    <w:tbl>
      <w:tblPr>
        <w:tblW w:w="10206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511"/>
      </w:tblGrid>
      <w:tr>
        <w:trPr/>
        <w:tc>
          <w:tcPr>
            <w:tcW w:w="2694" w:type="dxa"/>
            <w:tcBorders>
              <w:bottom w:val="single" w:sz="12" w:space="0" w:color="95B3D7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511" w:type="dxa"/>
            <w:tcBorders>
              <w:bottom w:val="single" w:sz="12" w:space="0" w:color="95B3D7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  <w:lang w:val="uk-UA" w:eastAsia="en-US"/>
              </w:rPr>
              <w:t>Перший</w:t>
            </w:r>
            <w: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  <w:lang w:val="uk-UA" w:eastAsia="en-US"/>
              </w:rPr>
              <w:t>бакалавр</w:t>
            </w:r>
            <w:r>
              <w:rPr>
                <w:rFonts w:ascii="Calibri" w:hAnsi="Calibri"/>
                <w:b/>
                <w:bCs/>
                <w:i/>
                <w:color w:val="0070C0"/>
                <w:sz w:val="22"/>
                <w:szCs w:val="22"/>
              </w:rPr>
              <w:t>ський)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12 Інформаційні технології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121 Інженерія програмного забезпечення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  <w:shd w:fill="auto" w:val="clear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  <w:shd w:fill="auto" w:val="clear"/>
              </w:rPr>
              <w:t>Інженерія програмного забезпечення комп’ютерних систем, Комп’ютерні системи та мережі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 w:eastAsia="Times New Roman" w:cs="Times New Roman"/>
                <w:i/>
                <w:i/>
                <w:color w:val="0070C0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Times New Roman" w:cs="Times New Roman" w:ascii="Calibri" w:hAnsi="Calibri"/>
                <w:i/>
                <w:color w:val="0070C0"/>
                <w:kern w:val="0"/>
                <w:sz w:val="22"/>
                <w:szCs w:val="22"/>
                <w:lang w:val="uk-UA" w:eastAsia="en-US" w:bidi="ar-SA"/>
              </w:rPr>
              <w:t>Нормативна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очна(денна)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2 курс, весняний семестр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  кредит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 w:eastAsia="Times New Roman" w:cs="Times New Roman"/>
                <w:i/>
                <w:i/>
                <w:color w:val="auto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Times New Roman" w:cs="Times New Roman" w:ascii="Calibri" w:hAnsi="Calibri"/>
                <w:i/>
                <w:color w:val="auto"/>
                <w:kern w:val="0"/>
                <w:sz w:val="22"/>
                <w:szCs w:val="22"/>
                <w:lang w:val="uk-UA" w:eastAsia="en-US" w:bidi="ar-SA"/>
              </w:rPr>
              <w:t>Залік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sz w:val="22"/>
                <w:szCs w:val="22"/>
              </w:rPr>
            </w:pPr>
            <w:hyperlink r:id="rId3">
              <w:r>
                <w:rPr>
                  <w:rStyle w:val="InternetLink"/>
                  <w:rFonts w:ascii="Calibri" w:hAnsi="Calibri"/>
                  <w:i/>
                  <w:sz w:val="22"/>
                  <w:szCs w:val="22"/>
                  <w:shd w:fill="auto" w:val="clear"/>
                </w:rPr>
                <w:t>https://roz.kpi.ua/</w:t>
              </w:r>
            </w:hyperlink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i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Інформація про </w:t>
              <w:br/>
              <w:t>керівника курсу / викладачів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fill="DBE5F1" w:val="clear"/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Ковальчук Олександр Миронович</w:t>
            </w:r>
            <w:r>
              <w:rPr>
                <w:rFonts w:ascii="Calibri" w:hAnsi="Calibri"/>
                <w:i/>
                <w:color w:val="auto"/>
                <w:sz w:val="22"/>
                <w:szCs w:val="22"/>
              </w:rPr>
              <w:t>,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kovalchuk.oleksandr@lll.kpi.ua</w:t>
            </w:r>
          </w:p>
        </w:tc>
      </w:tr>
      <w:tr>
        <w:trPr/>
        <w:tc>
          <w:tcPr>
            <w:tcW w:w="2694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pacing w:lineRule="auto" w:line="240" w:before="20" w:after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Розміщення курсу</w:t>
            </w:r>
          </w:p>
        </w:tc>
        <w:tc>
          <w:tcPr>
            <w:tcW w:w="75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InternetLink"/>
                <w:shd w:fill="auto" w:val="clear"/>
              </w:rPr>
              <w:t>https://classroom.google.com/c/NjAxMzU3MjUwODY3?cjc=ybof735</w:t>
            </w:r>
          </w:p>
        </w:tc>
      </w:tr>
    </w:tbl>
    <w:p>
      <w:pPr>
        <w:pStyle w:val="Heading1"/>
        <w:numPr>
          <w:ilvl w:val="0"/>
          <w:numId w:val="0"/>
        </w:numPr>
        <w:shd w:val="clear" w:fill="BFBFBF"/>
        <w:spacing w:lineRule="auto" w:line="240"/>
        <w:ind w:left="0" w:right="0" w:hanging="0"/>
        <w:jc w:val="center"/>
        <w:rPr/>
      </w:pPr>
      <w:r>
        <w:rPr/>
        <w:t>Програма навчальної дисципліни</w:t>
      </w:r>
    </w:p>
    <w:p>
      <w:pPr>
        <w:pStyle w:val="Heading1"/>
        <w:rPr/>
      </w:pPr>
      <w:r>
        <w:rPr/>
        <w:t>Опис курсу, цілі і завдання, результати навчання</w:t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Курсова робота виконується з метою закріплення, поглиблення та узагальнення знань, отриманих студентами під час навчання, і застосування їх для комплексного вирішення конкретного професійного завдання. Написання та захист курсової роботи є важливим підготовчим етапом до виконання наступного, більш складного завдання – виконання бакалаврських та магістерських робіт. Курсова робота з методологій та технологій розроблення програмного забезпечення є обов’язковою складовою освітньо-професійної програми «Інженерія програмного забезпечення комп’ютерних систем» для здобуття ступеня бакалавра. Під час вивчення даної дисципліни студенти отримають практичні навички розроблення програмного забезпечення.</w:t>
      </w:r>
    </w:p>
    <w:p>
      <w:pPr>
        <w:pStyle w:val="Normal"/>
        <w:suppressAutoHyphens w:val="true"/>
        <w:spacing w:lineRule="auto" w:line="240"/>
        <w:ind w:left="0" w:right="0" w:firstLine="567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>
          <w:shd w:fill="auto" w:val="clear"/>
        </w:rPr>
      </w:pP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lang w:eastAsia="ru-RU"/>
        </w:rPr>
        <w:t xml:space="preserve">Метою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курсової роботи є систематизація, закріплення та поглиблення теоретичних і практичних знань, отриманих під час вивчення дисципліни «Методології і технології розроблення програмного забезпечення», формування навичок застосування цих знань під час вирішення конкретних практичних завдань з предмету область інформатики.</w:t>
      </w:r>
    </w:p>
    <w:p>
      <w:pPr>
        <w:pStyle w:val="Normal"/>
        <w:suppressAutoHyphens w:val="true"/>
        <w:spacing w:lineRule="auto" w:line="240"/>
        <w:ind w:left="0" w:right="0" w:firstLine="567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/>
      </w:pPr>
      <w:r>
        <w:rPr>
          <w:rFonts w:eastAsia="Calibri" w:cs="Calibri" w:ascii="Calibri" w:hAnsi="Calibri"/>
          <w:b/>
          <w:bCs/>
          <w:color w:val="000000"/>
          <w:sz w:val="24"/>
          <w:szCs w:val="24"/>
          <w:lang w:eastAsia="ru-RU"/>
        </w:rPr>
        <w:t>Предметом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 вивчення дисципліни є: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теоретичні та практичні засади розроблення та підтримки програмних продуктів;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/>
        <w:jc w:val="both"/>
        <w:rPr/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методи та засоби </w:t>
      </w: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взаємодії між розробниками при розробці програмного забезпечення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методи тестування програмного забезпечення;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методи неперервної інтеграції;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4"/>
          <w:szCs w:val="24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принципи побудови архітектури програмного забезпечення;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4"/>
          <w:szCs w:val="24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способи доставки та розгортання програмного забезпечення.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Calibri" w:hAnsi="Calibri" w:eastAsia="Calibri" w:cs="Calibri"/>
          <w:color w:val="000000"/>
          <w:sz w:val="24"/>
          <w:szCs w:val="24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</w:r>
    </w:p>
    <w:p>
      <w:pPr>
        <w:pStyle w:val="Normal"/>
        <w:suppressAutoHyphens w:val="true"/>
        <w:spacing w:lineRule="auto" w:line="259"/>
        <w:ind w:left="0" w:right="0" w:firstLine="708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Згідно з вимогами ОПП  здобувачі в результаті вивчення модуля  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“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Методології та технології розроблення програмного забезпечення. Курсова робота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”</w:t>
      </w:r>
      <w:r>
        <w:rPr>
          <w:rFonts w:eastAsia="Calibri" w:cs="Calibri" w:ascii="Calibri" w:hAnsi="Calibri"/>
          <w:sz w:val="24"/>
          <w:szCs w:val="24"/>
        </w:rPr>
        <w:t xml:space="preserve"> мають продемонструвати такі компетентності та програмні результати навчання: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вміння аналізувати предметні області, формувати, класифікувати вимоги до програмного забезпечення;;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уміння проектувати архітектуру програмного забезпечення, моделювати процеси функціонування окремих підсистем і модулів;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можливість забезпечення якості програмного забезпечення;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здатність розробляти та підтримувати програмні продукти;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59"/>
        <w:jc w:val="both"/>
        <w:rPr/>
      </w:pPr>
      <w:r>
        <w:rPr>
          <w:rFonts w:eastAsia="Calibri" w:cs="Calibri" w:ascii="Calibri" w:hAnsi="Calibri"/>
          <w:sz w:val="24"/>
          <w:szCs w:val="24"/>
          <w:shd w:fill="auto" w:val="clear"/>
        </w:rPr>
        <w:t>вміти застосовувати методи та технології розроблення програмних продуктів;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здатність розробляти програмне забезпечення з використанням концепцій інформаційної безпеки.</w:t>
      </w:r>
    </w:p>
    <w:p>
      <w:pPr>
        <w:pStyle w:val="Normal"/>
        <w:suppressAutoHyphens w:val="true"/>
        <w:spacing w:lineRule="auto" w:line="259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>
          <w:shd w:fill="auto" w:val="clear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За результатами вивчення навчальної дисципліни “Методології та технології розроблення програмного забезпечення. Курсова робота” мають бути отримані такі </w:t>
      </w: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lang w:eastAsia="ru-RU"/>
        </w:rPr>
        <w:t>знання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160"/>
        <w:contextualSpacing/>
        <w:jc w:val="both"/>
        <w:rPr/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концептуальні та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теоретичні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знання у сфері інженерії програмного забезпечення;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160"/>
        <w:contextualSpacing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можливість забезпечення якості програмного забезпечення;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160"/>
        <w:contextualSpacing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методологічні знання в плані застосування сучасних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методів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 xml:space="preserve"> та 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технології для розроблення програмного забезпечення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160"/>
        <w:contextual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uppressAutoHyphens w:val="true"/>
        <w:spacing w:lineRule="auto" w:line="240"/>
        <w:ind w:left="0" w:right="0" w:firstLine="708"/>
        <w:jc w:val="both"/>
        <w:rPr>
          <w:shd w:fill="auto" w:val="clear"/>
        </w:rPr>
      </w:pP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lang w:eastAsia="ru-RU"/>
        </w:rPr>
        <w:t>Уміння</w:t>
      </w: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eastAsia="ru-RU"/>
        </w:rPr>
        <w:t>, які мають бути отримані у рамках вивчення навчальної дисципліни “Методології та технології розроблення програмного забезпечення”: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реалізація у вигляді програми одного або кількох взаємопов'язаних алгоритмів, що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розв'язують задану прикладну задачу;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/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набуття практичних навичок розроблення програмного забезпечення;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використовувати підходи адаптації програмного забезпечення до змін;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  <w:t>застосовувати сучасні інструменти для тестування програмного забезпечення;</w:t>
      </w:r>
    </w:p>
    <w:p>
      <w:pPr>
        <w:pStyle w:val="Normal"/>
        <w:suppressAutoHyphens w:val="true"/>
        <w:spacing w:lineRule="auto" w:line="24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720" w:hanging="0"/>
        <w:jc w:val="both"/>
        <w:rPr>
          <w:rFonts w:ascii="Calibri" w:hAnsi="Calibri" w:eastAsia="Calibri" w:cs="Calibri"/>
          <w:color w:val="000000"/>
          <w:sz w:val="24"/>
          <w:szCs w:val="24"/>
          <w:shd w:fill="auto" w:val="clear"/>
          <w:lang w:val="uk-UA"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  <w:lang w:val="uk-UA" w:eastAsia="ru-RU"/>
        </w:rPr>
      </w:r>
    </w:p>
    <w:p>
      <w:pPr>
        <w:pStyle w:val="Normal"/>
        <w:spacing w:lineRule="auto" w:line="240" w:before="0" w:after="120"/>
        <w:ind w:left="0" w:right="0" w:firstLine="708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Таке поєднання загальних та спеціальних компетентностей, теоретичних та практичних знань, умінь та здатностей сприяє підвищенню </w:t>
      </w: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професійного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 рівня здобувачів ступеня </w:t>
      </w: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бакалавр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 xml:space="preserve"> задля здійснення ними ефективної діяльності в сфері розроблення </w:t>
      </w:r>
      <w:r>
        <w:rPr>
          <w:rFonts w:eastAsia="Calibri" w:cs="Calibri" w:ascii="Calibri" w:hAnsi="Calibri"/>
          <w:color w:val="000000"/>
          <w:sz w:val="24"/>
          <w:szCs w:val="24"/>
          <w:lang w:val="uk-UA" w:eastAsia="ru-RU"/>
        </w:rPr>
        <w:t>програмних продуктів</w:t>
      </w: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120"/>
        <w:ind w:left="0" w:right="0" w:firstLine="708"/>
        <w:jc w:val="both"/>
        <w:rPr>
          <w:rFonts w:ascii="Calibri" w:hAnsi="Calibri" w:eastAsia="Calibri" w:cs="Calibri"/>
          <w:color w:val="000000"/>
          <w:sz w:val="24"/>
          <w:szCs w:val="24"/>
          <w:lang w:eastAsia="ru-RU"/>
        </w:rPr>
      </w:pPr>
      <w:r>
        <w:rPr>
          <w:rFonts w:eastAsia="Calibri" w:cs="Calibri" w:ascii="Calibri" w:hAnsi="Calibri"/>
          <w:color w:val="000000"/>
          <w:sz w:val="24"/>
          <w:szCs w:val="24"/>
          <w:lang w:eastAsia="ru-RU"/>
        </w:rPr>
      </w:r>
    </w:p>
    <w:p>
      <w:pPr>
        <w:pStyle w:val="Heading1"/>
        <w:spacing w:lineRule="auto" w:line="240"/>
        <w:rPr/>
      </w:pPr>
      <w:r>
        <w:rPr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>
      <w:pPr>
        <w:pStyle w:val="Normal"/>
        <w:spacing w:lineRule="auto" w:line="240" w:before="0" w:after="120"/>
        <w:ind w:left="0" w:right="0" w:firstLine="708"/>
        <w:jc w:val="both"/>
        <w:rPr>
          <w:rFonts w:ascii="Calibri" w:hAnsi="Calibri"/>
          <w:sz w:val="24"/>
          <w:szCs w:val="24"/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t xml:space="preserve">Необхідні дисципліни: “Алгоритми та </w:t>
      </w:r>
      <w:r>
        <w:rPr>
          <w:rFonts w:eastAsia="Times New Roman" w:cs="Times New Roman" w:ascii="Calibri" w:hAnsi="Calibri"/>
          <w:color w:val="000000"/>
          <w:kern w:val="0"/>
          <w:sz w:val="24"/>
          <w:szCs w:val="24"/>
          <w:shd w:fill="auto" w:val="clear"/>
          <w:lang w:val="uk-UA" w:eastAsia="en-US" w:bidi="ar-SA"/>
        </w:rPr>
        <w:t>методи обчислень</w:t>
      </w:r>
      <w:r>
        <w:rPr>
          <w:rFonts w:ascii="Calibri" w:hAnsi="Calibri"/>
          <w:sz w:val="24"/>
          <w:szCs w:val="24"/>
          <w:shd w:fill="auto" w:val="clear"/>
        </w:rPr>
        <w:t>”, “Бази даних”, .”Основи програмування”, “Методології та технології розроблення програмного забезпечення”</w:t>
      </w:r>
    </w:p>
    <w:p>
      <w:pPr>
        <w:pStyle w:val="Normal"/>
        <w:suppressAutoHyphens w:val="true"/>
        <w:spacing w:lineRule="auto" w:line="259" w:before="0" w:after="120"/>
        <w:ind w:left="0" w:right="0" w:firstLine="708"/>
        <w:jc w:val="both"/>
        <w:rPr>
          <w:rFonts w:ascii="Calibri" w:hAnsi="Calibri"/>
          <w:i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</w:r>
    </w:p>
    <w:p>
      <w:pPr>
        <w:pStyle w:val="Heading1"/>
        <w:spacing w:lineRule="auto" w:line="240"/>
        <w:rPr/>
      </w:pPr>
      <w:r>
        <w:rPr/>
        <w:t xml:space="preserve">Структура кредитного модуля </w:t>
      </w:r>
    </w:p>
    <w:p>
      <w:pPr>
        <w:pStyle w:val="Normal"/>
        <w:ind w:left="0" w:right="0" w:firstLine="708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ind w:left="0" w:right="0" w:firstLine="708"/>
        <w:rPr/>
      </w:pPr>
      <w:r>
        <w:rPr>
          <w:rFonts w:cs="Calibri" w:ascii="Calibri" w:hAnsi="Calibri"/>
          <w:sz w:val="24"/>
          <w:szCs w:val="24"/>
        </w:rPr>
        <w:t>Курсова робота є індивідуальним завданням з дисципліни «Методології та технології розроблення програмного забезпечення» і готується до захисту в заключному періоді теоретичної підготовки. Курсова робота має бути підготовлена до захисту у встановлений викладачем термін. До захисту курсової роботи подається пояснювальна записка.</w:t>
      </w:r>
    </w:p>
    <w:p>
      <w:pPr>
        <w:pStyle w:val="Normal"/>
        <w:ind w:left="0" w:right="0" w:firstLine="708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Пояснювальна записка включає такі складові частини: титульний аркуш, завдання курсової роботи, зміст, який включає назви всіх розділів і пунктів із зазначенням номерів сторінок, вступ, у якому вказується мета і завдання курсової роботи; теоретична частина, в якій викладаються теоретичні відомості з теми роботи; практична реалізація на мові програмування. У кінці пояснювальної записки наводиться висновок за результатами роботи.</w:t>
      </w:r>
    </w:p>
    <w:p>
      <w:pPr>
        <w:pStyle w:val="Normal"/>
        <w:spacing w:lineRule="auto" w:line="240"/>
        <w:ind w:right="0" w:hanging="0"/>
        <w:jc w:val="both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          </w:t>
      </w:r>
    </w:p>
    <w:p>
      <w:pPr>
        <w:pStyle w:val="Heading1"/>
        <w:rPr/>
      </w:pPr>
      <w:r>
        <w:rPr/>
        <w:t>Навчальні матеріали та ресурси</w:t>
      </w:r>
    </w:p>
    <w:p>
      <w:pPr>
        <w:pStyle w:val="Heading1"/>
        <w:numPr>
          <w:ilvl w:val="0"/>
          <w:numId w:val="0"/>
        </w:numPr>
        <w:spacing w:lineRule="auto" w:line="240"/>
        <w:ind w:left="720" w:right="0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Software Engineering at Google by Titus Winters, Tom Manshreck, Hyrum Wright. URL: </w:t>
      </w:r>
      <w:hyperlink r:id="rId4">
        <w:r>
          <w:rPr>
            <w:rStyle w:val="InternetLink"/>
            <w:rFonts w:ascii="Calibri" w:hAnsi="Calibri"/>
            <w:i/>
            <w:iCs/>
            <w:sz w:val="24"/>
            <w:szCs w:val="24"/>
          </w:rPr>
          <w:t>https://abseil.io/resources/swe-book</w:t>
        </w:r>
      </w:hyperlink>
    </w:p>
    <w:p>
      <w:pPr>
        <w:pStyle w:val="Normal"/>
        <w:numPr>
          <w:ilvl w:val="0"/>
          <w:numId w:val="12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  <w:shd w:fill="auto" w:val="clear"/>
        </w:rPr>
        <w:t xml:space="preserve">Building Secure and Reliable Systems by Heather Adkins, Betsy Beyer, Paul Blankinship, Ana Oprea, Piotr Lewandowski, Adam Stubblefield. URL: </w:t>
      </w:r>
      <w:r>
        <w:rPr>
          <w:rStyle w:val="InternetLink"/>
          <w:rFonts w:ascii="Calibri" w:hAnsi="Calibri"/>
          <w:i/>
          <w:iCs/>
          <w:sz w:val="24"/>
          <w:szCs w:val="24"/>
          <w:shd w:fill="auto" w:val="clear"/>
        </w:rPr>
        <w:t>https://sre.google/static/pdf/building_secure_and_reliable_systems.pdf</w:t>
      </w:r>
    </w:p>
    <w:p>
      <w:pPr>
        <w:pStyle w:val="Normal"/>
        <w:numPr>
          <w:ilvl w:val="0"/>
          <w:numId w:val="13"/>
        </w:numPr>
        <w:spacing w:lineRule="auto" w:line="240"/>
        <w:jc w:val="both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Ambler, S. (2002) Agile Modeling: Effective Practices for Extreme Programming and the Unified Process, NewYork, John Wiley &amp; Sons.</w:t>
      </w:r>
    </w:p>
    <w:p>
      <w:pPr>
        <w:pStyle w:val="Normal"/>
        <w:numPr>
          <w:ilvl w:val="0"/>
          <w:numId w:val="14"/>
        </w:numPr>
        <w:spacing w:lineRule="auto" w:line="240"/>
        <w:jc w:val="both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Christopher Fox (2006) Introduction to Software Engineering Design. Addison Wesley</w:t>
      </w:r>
    </w:p>
    <w:p>
      <w:pPr>
        <w:pStyle w:val="Normal"/>
        <w:spacing w:lineRule="auto" w:line="240"/>
        <w:jc w:val="both"/>
        <w:rPr>
          <w:i/>
          <w:i/>
          <w:shd w:fill="auto" w:val="clear"/>
        </w:rPr>
      </w:pPr>
      <w:r>
        <w:rPr>
          <w:rFonts w:ascii="Calibri" w:hAnsi="Calibri"/>
          <w:i/>
          <w:sz w:val="24"/>
          <w:szCs w:val="24"/>
          <w:shd w:fill="auto" w:val="clear"/>
        </w:rPr>
        <w:tab/>
      </w:r>
    </w:p>
    <w:p>
      <w:pPr>
        <w:pStyle w:val="Heading1"/>
        <w:numPr>
          <w:ilvl w:val="0"/>
          <w:numId w:val="0"/>
        </w:numPr>
        <w:shd w:val="clear" w:fill="BFBFBF"/>
        <w:spacing w:lineRule="auto" w:line="240"/>
        <w:ind w:left="0" w:right="0" w:hanging="0"/>
        <w:jc w:val="center"/>
        <w:rPr/>
      </w:pPr>
      <w:r>
        <w:rPr/>
        <w:t>Політика та контроль</w:t>
      </w:r>
    </w:p>
    <w:p>
      <w:pPr>
        <w:pStyle w:val="Heading1"/>
        <w:spacing w:lineRule="auto" w:line="240"/>
        <w:rPr/>
      </w:pPr>
      <w:r>
        <w:rPr/>
        <w:t>Політика навчальної дисципліни (освітнього компонента)</w:t>
      </w:r>
    </w:p>
    <w:p>
      <w:pPr>
        <w:pStyle w:val="ListParagraph"/>
        <w:spacing w:lineRule="auto" w:line="240" w:before="0" w:after="1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Під час занять з навчальної дисципліни студенти повинні дотримуватись певних дисциплінарних правил: 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ind w:left="1080" w:right="0" w:hanging="3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не допускаються сторонні розмови або інший шум, що заважає проведенню занять;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ind w:left="1080" w:right="0" w:hanging="360"/>
        <w:contextualSpacing/>
        <w:jc w:val="both"/>
        <w:rPr/>
      </w:pPr>
      <w:r>
        <w:rPr>
          <w:rFonts w:ascii="Calibri" w:hAnsi="Calibri"/>
          <w:sz w:val="24"/>
          <w:szCs w:val="24"/>
        </w:rPr>
        <w:t>не допускається користування мобільними телефонами та іншими технічними засобами без дозволу викладача.</w:t>
      </w:r>
      <w:r>
        <w:rPr>
          <w:rFonts w:ascii="Calibri" w:hAnsi="Calibri"/>
          <w:b/>
          <w:sz w:val="24"/>
          <w:szCs w:val="24"/>
        </w:rPr>
        <w:t xml:space="preserve"> </w:t>
      </w:r>
    </w:p>
    <w:p>
      <w:pPr>
        <w:pStyle w:val="ListParagraph"/>
        <w:spacing w:lineRule="auto" w:line="240" w:before="0" w:after="1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pacing w:lineRule="auto" w:line="240" w:before="0" w:after="1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Курсова робота здається (захищається) персонально з перевіркою отриманих практичних результатів та теоретичних знань, необхідних для виконання таких робіт. Перевірка практичних результатів включає перевірку коду та виконання тестових завдань.</w:t>
      </w:r>
    </w:p>
    <w:p>
      <w:pPr>
        <w:pStyle w:val="ListParagraph"/>
        <w:spacing w:lineRule="auto" w:line="240" w:before="0" w:after="120"/>
        <w:ind w:left="360" w:right="0" w:hanging="0"/>
        <w:contextualSpacing/>
        <w:jc w:val="both"/>
        <w:rPr>
          <w:rFonts w:ascii="Calibri" w:hAnsi="Calibri"/>
          <w:i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</w:r>
    </w:p>
    <w:p>
      <w:pPr>
        <w:pStyle w:val="Heading1"/>
        <w:spacing w:lineRule="auto" w:line="240"/>
        <w:rPr>
          <w:shd w:fill="auto" w:val="clear"/>
        </w:rPr>
      </w:pPr>
      <w:r>
        <w:rPr>
          <w:shd w:fill="auto" w:val="clear"/>
        </w:rPr>
        <w:t>Види контролю та рейтингова система оцінювання результатів навчання (РСО)</w:t>
      </w:r>
    </w:p>
    <w:p>
      <w:pPr>
        <w:pStyle w:val="ListParagraph"/>
        <w:spacing w:lineRule="auto" w:line="240" w:before="0" w:after="0"/>
        <w:ind w:left="708" w:right="0" w:hanging="0"/>
        <w:contextualSpacing/>
        <w:jc w:val="both"/>
        <w:rPr/>
      </w:pPr>
      <w:r>
        <w:rPr>
          <w:rFonts w:ascii="Calibri" w:hAnsi="Calibri"/>
          <w:sz w:val="24"/>
          <w:szCs w:val="24"/>
          <w:shd w:fill="auto" w:val="clear"/>
        </w:rPr>
        <w:t xml:space="preserve">Семестровий контроль: </w:t>
      </w:r>
      <w:r>
        <w:rPr>
          <w:rFonts w:eastAsia="Times New Roman" w:cs="Times New Roman" w:ascii="Calibri" w:hAnsi="Calibri"/>
          <w:color w:val="0070C0"/>
          <w:kern w:val="0"/>
          <w:sz w:val="24"/>
          <w:szCs w:val="24"/>
          <w:shd w:fill="auto" w:val="clear"/>
          <w:lang w:val="uk-UA" w:eastAsia="en-US" w:bidi="ar-SA"/>
        </w:rPr>
        <w:t>залік</w:t>
      </w:r>
    </w:p>
    <w:p>
      <w:pPr>
        <w:pStyle w:val="ListParagraph"/>
        <w:spacing w:lineRule="auto" w:line="240" w:before="0" w:after="0"/>
        <w:ind w:left="708" w:right="0" w:hanging="0"/>
        <w:contextualSpacing/>
        <w:jc w:val="both"/>
        <w:rPr/>
      </w:pPr>
      <w:r>
        <w:rPr/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Допуск здобувача вищої освіти до захисту курсової роботи здійснює науковий керівник.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Критерії допуску: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ascii="Calibri" w:hAnsi="Calibri"/>
          <w:sz w:val="24"/>
          <w:szCs w:val="24"/>
        </w:rPr>
        <w:t>наявність електронної версії текстової частини курсової роботи у форматі .doc, .docx , .pdf або .odt розроблений відповідно до вимог;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наявність електронної версії робочої розроблення програмного забезпечення (відповідно до поставленого в роботі завдання), представленого у вигляді інсталятора для однієї або кількох поширених сучасних операційних систем;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наявний зброшурований друкований примірник текстової частини курсової роботи,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оформлений відповідно до вимог, завірених науковим керівником;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відповідність змісту текстової частини темі курсової роботи;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наявність у додатках текстової частини курсової роботи технічного завдання та інструкції користувача щодо користування програмною розробкою;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дотримання академічної доброчесності під час написання курсової роботи, відповідно до нормативних документів.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Захист курсової роботи включає короткий виступ студента з доповіддю, його відповіді на запитання членів комісії. Презентація студента відображає актуальність теми, завдання курсової роботи, її основні результати та демонстрацію програмного продукту. Студент повинен продемонструвати вміння відповідати на питання з предметної галузі курсової роботи, вести наукову дискусію.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Після закінчення процедури захисту комісія виносить остаточну загальну оцінку за курсову роботу.</w:t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708" w:right="0" w:hanging="0"/>
        <w:jc w:val="both"/>
        <w:rPr>
          <w:rFonts w:ascii="Calibri" w:hAnsi="Calibri"/>
          <w:b w:val="false"/>
          <w:bCs w:val="false"/>
          <w:color w:val="0070C0"/>
          <w:sz w:val="24"/>
          <w:szCs w:val="24"/>
          <w:shd w:fill="auto" w:val="clear"/>
        </w:rPr>
      </w:pPr>
      <w:r>
        <w:rPr>
          <w:rFonts w:ascii="Calibri" w:hAnsi="Calibri"/>
          <w:b w:val="false"/>
          <w:bCs w:val="false"/>
          <w:color w:val="0070C0"/>
          <w:sz w:val="24"/>
          <w:szCs w:val="24"/>
          <w:shd w:fill="auto" w:val="clear"/>
        </w:rPr>
      </w:r>
    </w:p>
    <w:p>
      <w:pPr>
        <w:pStyle w:val="LO-normal"/>
        <w:widowControl/>
        <w:suppressAutoHyphens w:val="true"/>
        <w:bidi w:val="0"/>
        <w:spacing w:lineRule="auto" w:line="276" w:before="0" w:after="0"/>
        <w:ind w:left="737" w:right="0" w:hanging="0"/>
        <w:jc w:val="center"/>
        <w:rPr>
          <w:rFonts w:ascii="Calibri" w:hAnsi="Calibri"/>
          <w:bCs/>
          <w:sz w:val="24"/>
          <w:szCs w:val="24"/>
          <w:shd w:fill="FFFF00" w:val="clear"/>
        </w:rPr>
      </w:pPr>
      <w:r>
        <w:rPr>
          <w:rFonts w:ascii="Calibri" w:hAnsi="Calibri"/>
          <w:bCs/>
          <w:sz w:val="24"/>
          <w:szCs w:val="24"/>
          <w:shd w:fill="FFFF00" w:val="clear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center"/>
        <w:rPr>
          <w:shd w:fill="FFFF00" w:val="clear"/>
        </w:rPr>
      </w:pPr>
      <w:r>
        <w:rPr>
          <w:rFonts w:ascii="Calibri" w:hAnsi="Calibri"/>
          <w:bCs/>
          <w:sz w:val="24"/>
          <w:szCs w:val="24"/>
          <w:shd w:fill="auto" w:val="clear"/>
        </w:rPr>
        <w:t>Таблиця 1 — Відповідн</w:t>
      </w:r>
      <w:r>
        <w:rPr>
          <w:rFonts w:ascii="Calibri" w:hAnsi="Calibri"/>
          <w:bCs/>
          <w:sz w:val="24"/>
          <w:szCs w:val="24"/>
          <w:shd w:fill="auto" w:val="clear"/>
          <w:lang w:val="uk-UA" w:eastAsia="en-US"/>
        </w:rPr>
        <w:t>ість</w:t>
      </w:r>
      <w:r>
        <w:rPr>
          <w:rFonts w:ascii="Calibri" w:hAnsi="Calibri"/>
          <w:bCs/>
          <w:sz w:val="24"/>
          <w:szCs w:val="24"/>
          <w:shd w:fill="auto" w:val="clear"/>
        </w:rPr>
        <w:t xml:space="preserve"> рейтингових балів оцінкам за університетською шкалою</w:t>
      </w:r>
    </w:p>
    <w:tbl>
      <w:tblPr>
        <w:tblW w:w="6354" w:type="dxa"/>
        <w:jc w:val="left"/>
        <w:tblInd w:w="1951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288"/>
        <w:gridCol w:w="3065"/>
      </w:tblGrid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i/>
                <w:i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i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Оцінка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Відмінно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Дуже добре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Добре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Задовільно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Достатньо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Незадовільно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 допущено</w:t>
            </w:r>
          </w:p>
        </w:tc>
      </w:tr>
    </w:tbl>
    <w:p>
      <w:pPr>
        <w:pStyle w:val="Heading1"/>
        <w:numPr>
          <w:ilvl w:val="0"/>
          <w:numId w:val="0"/>
        </w:numPr>
        <w:spacing w:lineRule="auto" w:line="240"/>
        <w:ind w:left="360" w:right="0" w:hanging="0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spacing w:lineRule="auto" w:line="240" w:before="0" w:after="120"/>
        <w:ind w:left="708" w:right="0" w:hanging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Робочу програму навчальної дисципліни (силабус):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Calibri" w:hAnsi="Calibri"/>
          <w:b/>
          <w:bCs/>
          <w:sz w:val="22"/>
          <w:szCs w:val="22"/>
        </w:rPr>
        <w:t>Скла</w:t>
      </w:r>
      <w:r>
        <w:rPr>
          <w:rFonts w:ascii="Calibri" w:hAnsi="Calibri"/>
          <w:b/>
          <w:bCs/>
          <w:sz w:val="22"/>
          <w:szCs w:val="22"/>
          <w:lang w:val="uk-UA" w:eastAsia="en-US"/>
        </w:rPr>
        <w:t>в</w:t>
      </w:r>
      <w:r>
        <w:rPr>
          <w:rFonts w:ascii="Calibri" w:hAnsi="Calibri"/>
          <w:sz w:val="22"/>
          <w:szCs w:val="22"/>
        </w:rPr>
        <w:t xml:space="preserve"> асистент кафе</w:t>
      </w:r>
      <w:r>
        <w:rPr>
          <w:rFonts w:ascii="Calibri" w:hAnsi="Calibri"/>
          <w:sz w:val="22"/>
          <w:szCs w:val="22"/>
        </w:rPr>
        <w:t>дри обчислювальної техніки, Ковальчук О. М.</w:t>
      </w:r>
    </w:p>
    <w:p>
      <w:pPr>
        <w:pStyle w:val="Normal"/>
        <w:spacing w:lineRule="auto" w:line="240" w:before="0" w:after="120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Ухвалено</w:t>
      </w:r>
      <w:r>
        <w:rPr>
          <w:rFonts w:ascii="Calibri" w:hAnsi="Calibri"/>
          <w:sz w:val="22"/>
          <w:szCs w:val="22"/>
        </w:rPr>
        <w:t xml:space="preserve"> кафедрою  обчислювальної техніки (протокол</w:t>
      </w:r>
      <w:bookmarkStart w:id="0" w:name="docs-internal-guid-9a4038dd-7fff-6f29-04"/>
      <w:bookmarkEnd w:id="0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№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2"/>
          <w:u w:val="none"/>
          <w:effect w:val="none"/>
          <w:shd w:fill="auto" w:val="clear"/>
        </w:rPr>
        <w:t>13 від 10.05.2023</w:t>
      </w:r>
      <w:r>
        <w:rPr>
          <w:rFonts w:ascii="Calibri" w:hAnsi="Calibri"/>
          <w:sz w:val="22"/>
          <w:szCs w:val="22"/>
        </w:rPr>
        <w:t>)</w:t>
      </w:r>
    </w:p>
    <w:p>
      <w:pPr>
        <w:pStyle w:val="Normal"/>
        <w:spacing w:lineRule="auto" w:line="240" w:before="0" w:after="120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Погоджено </w:t>
      </w:r>
      <w:r>
        <w:rPr>
          <w:rFonts w:ascii="Calibri" w:hAnsi="Calibri"/>
          <w:sz w:val="22"/>
          <w:szCs w:val="22"/>
        </w:rPr>
        <w:t>методичною комісією факультету (протокол</w:t>
      </w:r>
      <w:bookmarkStart w:id="1" w:name="docs-internal-guid-c8da2a57-7fff-e625-5b"/>
      <w:bookmarkEnd w:id="1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№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2"/>
          <w:u w:val="none"/>
          <w:effect w:val="none"/>
          <w:shd w:fill="auto" w:val="clear"/>
        </w:rPr>
        <w:t>11 від 29.06.2023</w:t>
      </w:r>
      <w:r>
        <w:rPr>
          <w:rFonts w:ascii="Calibri" w:hAnsi="Calibri"/>
          <w:sz w:val="22"/>
          <w:szCs w:val="22"/>
        </w:rPr>
        <w:t>)</w:t>
      </w:r>
    </w:p>
    <w:p>
      <w:pPr>
        <w:pStyle w:val="Normal"/>
        <w:spacing w:lineRule="auto" w:line="240" w:before="0" w:after="120"/>
        <w:jc w:val="both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en-US" w:bidi="ar-SA"/>
    </w:rPr>
  </w:style>
  <w:style w:type="paragraph" w:styleId="Heading1">
    <w:name w:val="Heading 1"/>
    <w:basedOn w:val="ListParagraph"/>
    <w:next w:val="Normal"/>
    <w:qFormat/>
    <w:pPr>
      <w:keepNext w:val="true"/>
      <w:numPr>
        <w:ilvl w:val="0"/>
        <w:numId w:val="1"/>
      </w:numPr>
      <w:tabs>
        <w:tab w:val="clear" w:pos="708"/>
        <w:tab w:val="left" w:pos="284" w:leader="none"/>
      </w:tabs>
      <w:spacing w:lineRule="auto" w:line="216" w:before="120" w:after="120"/>
      <w:contextualSpacing w:val="false"/>
      <w:outlineLvl w:val="0"/>
    </w:pPr>
    <w:rPr>
      <w:rFonts w:ascii="Calibri" w:hAnsi="Calibri"/>
      <w:b/>
      <w:color w:val="002060"/>
      <w:sz w:val="24"/>
      <w:szCs w:val="24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qFormat/>
    <w:rPr>
      <w:rFonts w:ascii="Calibri" w:hAnsi="Calibri" w:cs="Times New Roman"/>
      <w:b/>
      <w:color w:val="002060"/>
      <w:sz w:val="24"/>
      <w:szCs w:val="24"/>
      <w:lang w:val="uk-UA" w:eastAsia="en-US"/>
    </w:rPr>
  </w:style>
  <w:style w:type="character" w:styleId="-">
    <w:name w:val="Интернет-ссылка"/>
    <w:qFormat/>
    <w:rPr>
      <w:rFonts w:cs="Times New Roman"/>
      <w:color w:val="0000FF"/>
      <w:u w:val="single"/>
    </w:rPr>
  </w:style>
  <w:style w:type="character" w:styleId="11">
    <w:name w:val="Основной шрифт абзаца1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  <w:lang w:val="uk-UA" w:eastAsia="en-US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Style14">
    <w:name w:val="Текст примечания Знак"/>
    <w:qFormat/>
    <w:rPr>
      <w:rFonts w:eastAsia="Times New Roman" w:cs="Times New Roman"/>
      <w:lang w:val="uk-UA" w:eastAsia="en-US"/>
    </w:rPr>
  </w:style>
  <w:style w:type="character" w:styleId="Style15">
    <w:name w:val="Тема примечания Знак"/>
    <w:qFormat/>
    <w:rPr>
      <w:rFonts w:eastAsia="Times New Roman" w:cs="Times New Roman"/>
      <w:b/>
      <w:bCs/>
      <w:lang w:val="uk-UA" w:eastAsia="en-US"/>
    </w:rPr>
  </w:style>
  <w:style w:type="character" w:styleId="Style16">
    <w:name w:val="Текст сноски Знак"/>
    <w:qFormat/>
    <w:rPr>
      <w:rFonts w:eastAsia="Times New Roman" w:cs="Times New Roman"/>
      <w:lang w:val="uk-UA" w:eastAsia="en-US"/>
    </w:rPr>
  </w:style>
  <w:style w:type="character" w:styleId="Style17">
    <w:name w:val="Привязка сноски"/>
    <w:qFormat/>
    <w:rPr>
      <w:rFonts w:cs="Times New Roman"/>
      <w:vertAlign w:val="superscript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Style18">
    <w:name w:val="Верхний колонтитул Знак"/>
    <w:qFormat/>
    <w:rPr>
      <w:sz w:val="28"/>
      <w:szCs w:val="28"/>
      <w:lang w:val="uk-UA" w:eastAsia="en-US"/>
    </w:rPr>
  </w:style>
  <w:style w:type="character" w:styleId="Style19">
    <w:name w:val="Нижний колонтитул Знак"/>
    <w:qFormat/>
    <w:rPr>
      <w:sz w:val="28"/>
      <w:szCs w:val="28"/>
      <w:lang w:val="uk-UA" w:eastAsia="en-US"/>
    </w:rPr>
  </w:style>
  <w:style w:type="character" w:styleId="Internet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0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en-US" w:bidi="ar-SA"/>
    </w:rPr>
  </w:style>
  <w:style w:type="paragraph" w:styleId="Footnote">
    <w:name w:val="Footnote Text"/>
    <w:basedOn w:val="Normal"/>
    <w:pPr>
      <w:spacing w:lineRule="auto" w:line="240"/>
    </w:pPr>
    <w:rPr>
      <w:sz w:val="20"/>
      <w:szCs w:val="20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Верхній і нижній колонтитули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z.kpi.ua/" TargetMode="External"/><Relationship Id="rId4" Type="http://schemas.openxmlformats.org/officeDocument/2006/relationships/hyperlink" Target="https://abseil.io/resources/swe-boo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Application>LibreOffice/7.5.5.2$Linux_X86_64 LibreOffice_project/50$Build-2</Application>
  <AppVersion>15.0000</AppVersion>
  <Pages>4</Pages>
  <Words>997</Words>
  <Characters>7501</Characters>
  <CharactersWithSpaces>8375</CharactersWithSpaces>
  <Paragraphs>113</Paragraphs>
  <Company>NMV KPI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2021-09-25T12:19:00Z</dcterms:created>
  <dc:creator/>
  <dc:description/>
  <dc:language>uk-UA</dc:language>
  <cp:lastModifiedBy/>
  <cp:lastPrinted>2020-09-07T13:50:00Z</cp:lastPrinted>
  <dcterms:modified xsi:type="dcterms:W3CDTF">2023-09-18T14:12:43Z</dcterms:modified>
  <cp:revision>60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