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CA" w:rsidRPr="005865CA" w:rsidRDefault="005865CA" w:rsidP="005865CA">
      <w:pPr>
        <w:shd w:val="clear" w:color="auto" w:fill="FFFFFF"/>
        <w:spacing w:after="120" w:line="300" w:lineRule="auto"/>
        <w:jc w:val="center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b/>
          <w:bCs/>
          <w:color w:val="2B48FF"/>
          <w:sz w:val="36"/>
          <w:szCs w:val="28"/>
          <w:lang w:val="uk-UA" w:eastAsia="ru-RU"/>
        </w:rPr>
        <w:t>1.</w:t>
      </w:r>
      <w:r w:rsidRPr="005865CA">
        <w:rPr>
          <w:rFonts w:ascii="Arial" w:eastAsia="Times New Roman" w:hAnsi="Arial" w:cs="Arial"/>
          <w:b/>
          <w:bCs/>
          <w:color w:val="2B48FF"/>
          <w:sz w:val="28"/>
          <w:szCs w:val="28"/>
          <w:lang w:val="uk-UA" w:eastAsia="ru-RU"/>
        </w:rPr>
        <w:t xml:space="preserve"> ФОРУМ «GREEN TALENTS 2021»: РОЗПОЧАТО ПРИЙОМ ЗАЯВОК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Міжнародний форум «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Green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Talents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–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International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Forum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for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High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Potentials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in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Sustainable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Development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» запрошує всіх охочих до участі в програмі 2021 року. Для цього слід поділитися своїми інноваційними ідеями та розпочати тривалу співпрацю з німецькими науковими установами та міжнародними дослідниками.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«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Green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Talents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2021» – це:</w:t>
      </w:r>
    </w:p>
    <w:p w:rsidR="005865CA" w:rsidRPr="005865CA" w:rsidRDefault="005865CA" w:rsidP="005865CA">
      <w:pPr>
        <w:numPr>
          <w:ilvl w:val="0"/>
          <w:numId w:val="3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запрошення відвідати 7-денний віртуальний науковий форум у жовтні 2021 року;</w:t>
      </w:r>
    </w:p>
    <w:p w:rsidR="005865CA" w:rsidRPr="005865CA" w:rsidRDefault="005865CA" w:rsidP="005865CA">
      <w:pPr>
        <w:numPr>
          <w:ilvl w:val="0"/>
          <w:numId w:val="3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повністю оплачене наукове стажування в Німеччині тривалістю до трьох місяців в організації за вашим вибором у 2022 році;</w:t>
      </w:r>
    </w:p>
    <w:p w:rsidR="005865CA" w:rsidRPr="005865CA" w:rsidRDefault="005865CA" w:rsidP="005865CA">
      <w:pPr>
        <w:numPr>
          <w:ilvl w:val="0"/>
          <w:numId w:val="3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необмежений доступ до мережі випускників престижної програми «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Green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Talents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».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Заявки приймаються від магістрантів, докторантів і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постдоків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, а також від молодих фахівців, які пропрацювали за фахом не більше трьох років (без урахування досвіду роботи за фахом в процесі отримання наукового ступеня) і приділяють особливу увагу питанням сталого розвитку. Кандидат повинен вільно володіти англійською мовою і мати широкі наукові знання. Він не має бути громадянином Німеччини, постійно чи тимчасово проживати в Німеччині в момент подання заявки.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Прийом заявок закінчується 19 травня о 14:00 (за центральноєвропейським часом). З детальною інформацією можна ознайомитися на 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fldChar w:fldCharType="begin"/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instrText xml:space="preserve"> HYPERLINK "https://gmail.us18.list-manage.com/track/click?u=3477faae738137ac0cc69b991&amp;id=d638aec275&amp;e=ffd7337547" \t "_blank" </w:instrText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fldChar w:fldCharType="separate"/>
      </w:r>
      <w:r w:rsidRPr="005865CA">
        <w:rPr>
          <w:rFonts w:ascii="Arial" w:eastAsia="Times New Roman" w:hAnsi="Arial" w:cs="Arial"/>
          <w:color w:val="007C89"/>
          <w:sz w:val="28"/>
          <w:szCs w:val="28"/>
          <w:u w:val="single"/>
          <w:lang w:val="uk-UA" w:eastAsia="ru-RU"/>
        </w:rPr>
        <w:t>вебсайті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fldChar w:fldCharType="end"/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, у 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fldChar w:fldCharType="begin"/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instrText xml:space="preserve"> HYPERLINK "https://gmail.us18.list-manage.com/track/click?u=3477faae738137ac0cc69b991&amp;id=cceb7fcfa8&amp;e=ffd7337547" \t "_blank" </w:instrText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fldChar w:fldCharType="separate"/>
      </w:r>
      <w:r w:rsidRPr="005865CA">
        <w:rPr>
          <w:rFonts w:ascii="Arial" w:eastAsia="Times New Roman" w:hAnsi="Arial" w:cs="Arial"/>
          <w:color w:val="007C89"/>
          <w:sz w:val="28"/>
          <w:szCs w:val="28"/>
          <w:u w:val="single"/>
          <w:lang w:val="uk-UA" w:eastAsia="ru-RU"/>
        </w:rPr>
        <w:t>Twitter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fldChar w:fldCharType="end"/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 та </w:t>
      </w:r>
      <w:hyperlink r:id="rId7" w:tgtFrame="_blank" w:history="1">
        <w:r w:rsidRPr="005865CA">
          <w:rPr>
            <w:rFonts w:ascii="Arial" w:eastAsia="Times New Roman" w:hAnsi="Arial" w:cs="Arial"/>
            <w:color w:val="007C89"/>
            <w:sz w:val="28"/>
            <w:szCs w:val="28"/>
            <w:u w:val="single"/>
            <w:lang w:val="uk-UA" w:eastAsia="ru-RU"/>
          </w:rPr>
          <w:t>у цій публікації МОН</w:t>
        </w:r>
      </w:hyperlink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 </w:t>
      </w:r>
    </w:p>
    <w:p w:rsidR="005865CA" w:rsidRPr="005865CA" w:rsidRDefault="005865CA" w:rsidP="005865CA">
      <w:pPr>
        <w:pStyle w:val="a3"/>
        <w:shd w:val="clear" w:color="auto" w:fill="FFFFFF"/>
        <w:spacing w:before="240" w:beforeAutospacing="0" w:after="120" w:afterAutospacing="0" w:line="300" w:lineRule="auto"/>
        <w:jc w:val="center"/>
        <w:rPr>
          <w:rFonts w:ascii="Arial" w:hAnsi="Arial" w:cs="Arial"/>
          <w:color w:val="202020"/>
          <w:sz w:val="28"/>
          <w:szCs w:val="28"/>
          <w:lang w:val="uk-UA"/>
        </w:rPr>
      </w:pPr>
      <w:r w:rsidRPr="005865CA">
        <w:rPr>
          <w:rFonts w:ascii="Arial" w:hAnsi="Arial" w:cs="Arial"/>
          <w:b/>
          <w:bCs/>
          <w:color w:val="2B48FF"/>
          <w:sz w:val="36"/>
          <w:szCs w:val="28"/>
          <w:lang w:val="uk-UA"/>
        </w:rPr>
        <w:t xml:space="preserve">2. </w:t>
      </w:r>
      <w:r>
        <w:rPr>
          <w:rFonts w:ascii="Arial" w:hAnsi="Arial" w:cs="Arial"/>
          <w:b/>
          <w:bCs/>
          <w:color w:val="2B48FF"/>
          <w:sz w:val="28"/>
          <w:szCs w:val="28"/>
          <w:lang w:val="uk-UA"/>
        </w:rPr>
        <w:t>В</w:t>
      </w:r>
      <w:r w:rsidRPr="005865CA">
        <w:rPr>
          <w:rFonts w:ascii="Arial" w:hAnsi="Arial" w:cs="Arial"/>
          <w:b/>
          <w:bCs/>
          <w:color w:val="2B48FF"/>
          <w:sz w:val="28"/>
          <w:szCs w:val="28"/>
          <w:lang w:val="uk-UA"/>
        </w:rPr>
        <w:t>ИКОРИСТАННЯ БАЗ ДАНИХ SCIENCEDIRECT ТА SCOPUS:</w:t>
      </w:r>
      <w:r w:rsidRPr="005865CA">
        <w:rPr>
          <w:rFonts w:ascii="Arial" w:hAnsi="Arial" w:cs="Arial"/>
          <w:b/>
          <w:bCs/>
          <w:color w:val="2B48FF"/>
          <w:sz w:val="28"/>
          <w:szCs w:val="28"/>
          <w:lang w:val="uk-UA"/>
        </w:rPr>
        <w:br/>
        <w:t>ВЕБІНАРИ ДЛЯ НАУКОВЦІВ ТА РЕДАКТОРІВ НАУКОВИХ ВИДАНЬ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З 15 квітня до 20 травня заплановано провести серію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вебінарів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українською та англійською мовами для вчених та редакторів наукових видань.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Вебінари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будуть присвячені питанням взаємодії з базами даних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ScienceDirect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та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Scopus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, висвітлюватимуть процедури відбору та критерії, за якими здійснюється відбір видань для індексування, роботу з профілями вчених та установ у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Scopus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, можливості використання </w:t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lastRenderedPageBreak/>
        <w:t xml:space="preserve">аналітичного інструмента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SciVal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для пошуку грантів і оцінювання діяльності вчених та установ.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Лекторами виступлять експерти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Elsevier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Катажина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Ґаца-Зайонц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,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Бартломей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Вєнцковскі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,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Кейт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Патирак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та тренер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Elsevier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Марина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Назаровець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Інформація, яку буде розглянуто під час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вебінарів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, стане в нагоді керівникам закладів вищої освіти та наукових установ, редакторам і членам редколегій наукових видань, науковим співробітникам, аспірантам та студентам. Учасники також зможуть отримати електронні сертифікати про участь, які можна завантажити після проходження відповідного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вебінара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на платформі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BrightTALK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Деталі про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вебінари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– </w:t>
      </w:r>
      <w:hyperlink r:id="rId8" w:tgtFrame="_blank" w:history="1">
        <w:r w:rsidRPr="005865CA">
          <w:rPr>
            <w:rFonts w:ascii="Arial" w:eastAsia="Times New Roman" w:hAnsi="Arial" w:cs="Arial"/>
            <w:color w:val="007C89"/>
            <w:sz w:val="28"/>
            <w:szCs w:val="28"/>
            <w:u w:val="single"/>
            <w:lang w:val="uk-UA" w:eastAsia="ru-RU"/>
          </w:rPr>
          <w:t>ось тут</w:t>
        </w:r>
      </w:hyperlink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jc w:val="center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 xml:space="preserve">Програма </w:t>
      </w:r>
      <w:proofErr w:type="spellStart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вебінарів</w:t>
      </w:r>
      <w:proofErr w:type="spellEnd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 </w:t>
      </w:r>
    </w:p>
    <w:p w:rsidR="005865CA" w:rsidRPr="005865CA" w:rsidRDefault="005865CA" w:rsidP="005865CA">
      <w:pPr>
        <w:numPr>
          <w:ilvl w:val="0"/>
          <w:numId w:val="4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 xml:space="preserve">Критерії та процес відбору журналів у </w:t>
      </w:r>
      <w:proofErr w:type="spellStart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Scopus</w:t>
      </w:r>
      <w:proofErr w:type="spellEnd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: семінари для редакторів та видавців наукових видань</w:t>
      </w:r>
      <w:r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 (англійською мовою). </w:t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22</w:t>
      </w:r>
      <w:r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 </w:t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квітня о 14:00 (тут і далі – за київським часом) – </w:t>
      </w:r>
      <w:hyperlink r:id="rId9" w:tgtFrame="_blank" w:history="1">
        <w:r w:rsidRPr="005865CA">
          <w:rPr>
            <w:rFonts w:ascii="Arial" w:eastAsia="Times New Roman" w:hAnsi="Arial" w:cs="Arial"/>
            <w:color w:val="007C89"/>
            <w:sz w:val="28"/>
            <w:szCs w:val="28"/>
            <w:u w:val="single"/>
            <w:lang w:val="uk-UA" w:eastAsia="ru-RU"/>
          </w:rPr>
          <w:t>реєстрація</w:t>
        </w:r>
      </w:hyperlink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 </w:t>
      </w:r>
    </w:p>
    <w:p w:rsidR="005865CA" w:rsidRPr="005865CA" w:rsidRDefault="005865CA" w:rsidP="005865CA">
      <w:pPr>
        <w:numPr>
          <w:ilvl w:val="0"/>
          <w:numId w:val="4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 xml:space="preserve">Здійснюйте нові відкриття, поєднуючи можливості </w:t>
      </w:r>
      <w:proofErr w:type="spellStart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Scopus</w:t>
      </w:r>
      <w:proofErr w:type="spellEnd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 xml:space="preserve"> та </w:t>
      </w:r>
      <w:proofErr w:type="spellStart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ScienceDirect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 (українською мовою). 22 квітня о 10:00 – </w:t>
      </w:r>
      <w:hyperlink r:id="rId10" w:tgtFrame="_blank" w:history="1">
        <w:r w:rsidRPr="005865CA">
          <w:rPr>
            <w:rFonts w:ascii="Arial" w:eastAsia="Times New Roman" w:hAnsi="Arial" w:cs="Arial"/>
            <w:color w:val="007C89"/>
            <w:sz w:val="28"/>
            <w:szCs w:val="28"/>
            <w:u w:val="single"/>
            <w:lang w:val="uk-UA" w:eastAsia="ru-RU"/>
          </w:rPr>
          <w:t>реєстрація</w:t>
        </w:r>
      </w:hyperlink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 </w:t>
      </w:r>
    </w:p>
    <w:p w:rsidR="005865CA" w:rsidRPr="005865CA" w:rsidRDefault="005865CA" w:rsidP="005865CA">
      <w:pPr>
        <w:numPr>
          <w:ilvl w:val="0"/>
          <w:numId w:val="4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proofErr w:type="spellStart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SciVal</w:t>
      </w:r>
      <w:proofErr w:type="spellEnd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 xml:space="preserve"> для дослідників – гранти. Як використовувати </w:t>
      </w:r>
      <w:proofErr w:type="spellStart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бібліометричні</w:t>
      </w:r>
      <w:proofErr w:type="spellEnd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 xml:space="preserve"> дані з метою пошуку грантів?</w:t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 (англійською мовою) 22 квітня о 12:00 – </w:t>
      </w:r>
      <w:hyperlink r:id="rId11" w:tgtFrame="_blank" w:history="1">
        <w:r w:rsidRPr="005865CA">
          <w:rPr>
            <w:rFonts w:ascii="Arial" w:eastAsia="Times New Roman" w:hAnsi="Arial" w:cs="Arial"/>
            <w:color w:val="007C89"/>
            <w:sz w:val="28"/>
            <w:szCs w:val="28"/>
            <w:u w:val="single"/>
            <w:lang w:val="uk-UA" w:eastAsia="ru-RU"/>
          </w:rPr>
          <w:t>реєстрація</w:t>
        </w:r>
      </w:hyperlink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 </w:t>
      </w:r>
    </w:p>
    <w:p w:rsidR="005865CA" w:rsidRPr="005865CA" w:rsidRDefault="005865CA" w:rsidP="005865CA">
      <w:pPr>
        <w:numPr>
          <w:ilvl w:val="0"/>
          <w:numId w:val="4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 xml:space="preserve">Профілі автора та установи у </w:t>
      </w:r>
      <w:proofErr w:type="spellStart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Scopus</w:t>
      </w:r>
      <w:proofErr w:type="spellEnd"/>
      <w:r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 (українською мовою). </w:t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6</w:t>
      </w:r>
      <w:r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 </w:t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травня о 10:00 – </w:t>
      </w:r>
      <w:hyperlink r:id="rId12" w:tgtFrame="_blank" w:history="1">
        <w:r w:rsidRPr="005865CA">
          <w:rPr>
            <w:rFonts w:ascii="Arial" w:eastAsia="Times New Roman" w:hAnsi="Arial" w:cs="Arial"/>
            <w:color w:val="007C89"/>
            <w:sz w:val="28"/>
            <w:szCs w:val="28"/>
            <w:u w:val="single"/>
            <w:lang w:val="uk-UA" w:eastAsia="ru-RU"/>
          </w:rPr>
          <w:t>реєстрація</w:t>
        </w:r>
      </w:hyperlink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 </w:t>
      </w:r>
    </w:p>
    <w:p w:rsidR="005865CA" w:rsidRPr="005865CA" w:rsidRDefault="005865CA" w:rsidP="005865CA">
      <w:pPr>
        <w:numPr>
          <w:ilvl w:val="0"/>
          <w:numId w:val="4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 xml:space="preserve">Пошук інформації у </w:t>
      </w:r>
      <w:proofErr w:type="spellStart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Scopus</w:t>
      </w:r>
      <w:proofErr w:type="spellEnd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 </w:t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(українською мовою). 20 травня о 10:00 – </w:t>
      </w:r>
      <w:hyperlink r:id="rId13" w:tgtFrame="_blank" w:history="1">
        <w:r w:rsidRPr="005865CA">
          <w:rPr>
            <w:rFonts w:ascii="Arial" w:eastAsia="Times New Roman" w:hAnsi="Arial" w:cs="Arial"/>
            <w:color w:val="007C89"/>
            <w:sz w:val="28"/>
            <w:szCs w:val="28"/>
            <w:u w:val="single"/>
            <w:lang w:val="uk-UA" w:eastAsia="ru-RU"/>
          </w:rPr>
          <w:t>реєстрація</w:t>
        </w:r>
      </w:hyperlink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</w:t>
      </w:r>
    </w:p>
    <w:p w:rsidR="005865CA" w:rsidRPr="005865CA" w:rsidRDefault="005865CA" w:rsidP="005865CA">
      <w:pPr>
        <w:numPr>
          <w:ilvl w:val="0"/>
          <w:numId w:val="4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proofErr w:type="spellStart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SciVal</w:t>
      </w:r>
      <w:proofErr w:type="spellEnd"/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 xml:space="preserve"> для дослідників – напрям оцінювання, як шукати інформацію?</w:t>
      </w: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 (англійською мовою) 20 травня о 12:00 – </w:t>
      </w:r>
      <w:hyperlink r:id="rId14" w:tgtFrame="_blank" w:history="1">
        <w:r w:rsidRPr="005865CA">
          <w:rPr>
            <w:rFonts w:ascii="Arial" w:eastAsia="Times New Roman" w:hAnsi="Arial" w:cs="Arial"/>
            <w:color w:val="007C89"/>
            <w:sz w:val="28"/>
            <w:szCs w:val="28"/>
            <w:u w:val="single"/>
            <w:lang w:val="uk-UA" w:eastAsia="ru-RU"/>
          </w:rPr>
          <w:t>реєстрація</w:t>
        </w:r>
      </w:hyperlink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</w:t>
      </w:r>
    </w:p>
    <w:p w:rsidR="005865CA" w:rsidRDefault="005865CA" w:rsidP="005865CA">
      <w:pPr>
        <w:pStyle w:val="a3"/>
        <w:shd w:val="clear" w:color="auto" w:fill="FFFFFF"/>
        <w:spacing w:before="240" w:beforeAutospacing="0" w:after="120" w:afterAutospacing="0" w:line="300" w:lineRule="auto"/>
        <w:jc w:val="center"/>
        <w:rPr>
          <w:rFonts w:ascii="Arial" w:hAnsi="Arial" w:cs="Arial"/>
          <w:b/>
          <w:bCs/>
          <w:color w:val="2B48FF"/>
          <w:sz w:val="36"/>
          <w:szCs w:val="28"/>
          <w:lang w:val="uk-UA"/>
        </w:rPr>
      </w:pPr>
    </w:p>
    <w:p w:rsidR="005865CA" w:rsidRDefault="005865CA" w:rsidP="005865CA">
      <w:pPr>
        <w:pStyle w:val="a3"/>
        <w:shd w:val="clear" w:color="auto" w:fill="FFFFFF"/>
        <w:spacing w:before="240" w:beforeAutospacing="0" w:after="120" w:afterAutospacing="0" w:line="300" w:lineRule="auto"/>
        <w:jc w:val="center"/>
        <w:rPr>
          <w:rFonts w:ascii="Arial" w:hAnsi="Arial" w:cs="Arial"/>
          <w:b/>
          <w:bCs/>
          <w:color w:val="2B48FF"/>
          <w:sz w:val="36"/>
          <w:szCs w:val="28"/>
          <w:lang w:val="uk-UA"/>
        </w:rPr>
      </w:pPr>
    </w:p>
    <w:p w:rsidR="005865CA" w:rsidRPr="005865CA" w:rsidRDefault="005865CA" w:rsidP="005865CA">
      <w:pPr>
        <w:pStyle w:val="a3"/>
        <w:shd w:val="clear" w:color="auto" w:fill="FFFFFF"/>
        <w:spacing w:before="240" w:beforeAutospacing="0" w:after="120" w:afterAutospacing="0" w:line="300" w:lineRule="auto"/>
        <w:jc w:val="center"/>
        <w:rPr>
          <w:rFonts w:ascii="Arial" w:hAnsi="Arial" w:cs="Arial"/>
          <w:color w:val="202020"/>
          <w:sz w:val="28"/>
          <w:szCs w:val="28"/>
          <w:lang w:val="uk-UA"/>
        </w:rPr>
      </w:pPr>
      <w:r w:rsidRPr="005865CA">
        <w:rPr>
          <w:rFonts w:ascii="Arial" w:hAnsi="Arial" w:cs="Arial"/>
          <w:b/>
          <w:bCs/>
          <w:color w:val="2B48FF"/>
          <w:sz w:val="36"/>
          <w:szCs w:val="28"/>
          <w:lang w:val="uk-UA"/>
        </w:rPr>
        <w:lastRenderedPageBreak/>
        <w:t xml:space="preserve">3. </w:t>
      </w:r>
      <w:r>
        <w:rPr>
          <w:rFonts w:ascii="Arial" w:hAnsi="Arial" w:cs="Arial"/>
          <w:b/>
          <w:bCs/>
          <w:color w:val="2B48FF"/>
          <w:sz w:val="28"/>
          <w:szCs w:val="28"/>
          <w:lang w:val="uk-UA"/>
        </w:rPr>
        <w:t>С</w:t>
      </w:r>
      <w:r w:rsidRPr="005865CA">
        <w:rPr>
          <w:rFonts w:ascii="Arial" w:hAnsi="Arial" w:cs="Arial"/>
          <w:b/>
          <w:bCs/>
          <w:color w:val="2B48FF"/>
          <w:sz w:val="28"/>
          <w:szCs w:val="28"/>
          <w:lang w:val="uk-UA"/>
        </w:rPr>
        <w:t>ХВАЛЕНО КОНЦЕПЦІЮ ДЕРЖАВНОЇ ЦІЛЬОВОЇ ПРОГРАМИ РОЗВИТКУ ДОСЛІДНИЦЬКИХ ІНФРАСТРУКТУР НА ПЕРІОД ДО 2026</w:t>
      </w:r>
      <w:r>
        <w:rPr>
          <w:rFonts w:ascii="Arial" w:hAnsi="Arial" w:cs="Arial"/>
          <w:b/>
          <w:bCs/>
          <w:color w:val="2B48FF"/>
          <w:sz w:val="28"/>
          <w:szCs w:val="28"/>
          <w:lang w:val="uk-UA"/>
        </w:rPr>
        <w:t> </w:t>
      </w:r>
      <w:r w:rsidRPr="005865CA">
        <w:rPr>
          <w:rFonts w:ascii="Arial" w:hAnsi="Arial" w:cs="Arial"/>
          <w:b/>
          <w:bCs/>
          <w:color w:val="2B48FF"/>
          <w:sz w:val="28"/>
          <w:szCs w:val="28"/>
          <w:lang w:val="uk-UA"/>
        </w:rPr>
        <w:t>РОКУ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Для створення необхідних організаційних, правових та фінансових передумов для розвитку системи дослідницьких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інфраструктур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в Україні, підвищення їхньої конкурентоспроможності, а також розвитку наукової та інноваційної сфери в частині доступу вчених до передових дослідницьких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інфраструктур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в ЄС Уряд </w:t>
      </w:r>
      <w:hyperlink r:id="rId15" w:tgtFrame="_blank" w:history="1">
        <w:r w:rsidRPr="005865CA">
          <w:rPr>
            <w:rFonts w:ascii="Arial" w:eastAsia="Times New Roman" w:hAnsi="Arial" w:cs="Arial"/>
            <w:color w:val="007C89"/>
            <w:sz w:val="28"/>
            <w:szCs w:val="28"/>
            <w:u w:val="single"/>
            <w:lang w:val="uk-UA" w:eastAsia="ru-RU"/>
          </w:rPr>
          <w:t>схвалив концепцію</w:t>
        </w:r>
      </w:hyperlink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 Державної цільової програми розвитку дослідницьких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інфраструктур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в Україні на період до 2026 року. 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Основними завданнями програми будуть:</w:t>
      </w:r>
    </w:p>
    <w:p w:rsidR="005865CA" w:rsidRPr="005865CA" w:rsidRDefault="005865CA" w:rsidP="005865CA">
      <w:pPr>
        <w:numPr>
          <w:ilvl w:val="0"/>
          <w:numId w:val="5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інвентаризація та систематизація дослідницьких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інфраструктур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;</w:t>
      </w:r>
    </w:p>
    <w:p w:rsidR="005865CA" w:rsidRPr="005865CA" w:rsidRDefault="005865CA" w:rsidP="005865CA">
      <w:pPr>
        <w:numPr>
          <w:ilvl w:val="0"/>
          <w:numId w:val="5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оцінка їх сумісності з європейськими дослідницькими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інфраструктурами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;</w:t>
      </w:r>
    </w:p>
    <w:p w:rsidR="005865CA" w:rsidRPr="005865CA" w:rsidRDefault="005865CA" w:rsidP="005865CA">
      <w:pPr>
        <w:numPr>
          <w:ilvl w:val="0"/>
          <w:numId w:val="5"/>
        </w:numPr>
        <w:shd w:val="clear" w:color="auto" w:fill="FFFFFF"/>
        <w:spacing w:after="120" w:line="300" w:lineRule="auto"/>
        <w:ind w:left="709" w:hanging="124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надання пріоритетного фінансування для їх подальшого розвитку та узгодженість програми з дорожньою картою розвитку європейських дослідницьких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інфраструктур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, затвердженою Європейським стратегічним форумом дослідницьких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інфраструктур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На першому (підготовчому) етапі (2021-2022 роки) виконання програми планується розроблення положення та порядку створення, впровадження, модернізації та експлуатації дослідницьких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інфраструктур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; утворення комітету; створення інструментів фінансової підтримки участі дослідницьких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інфраструктур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 в міжнародних об’єднаннях дослідницьких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інфраструктур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На другому етапі (2022-2026 роки) передбачається створення та забезпечення діяльності різних організаційно-правових форм дослідницьких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інфраструктур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.</w:t>
      </w:r>
    </w:p>
    <w:p w:rsidR="005865CA" w:rsidRPr="005865CA" w:rsidRDefault="005865CA" w:rsidP="005865CA">
      <w:pPr>
        <w:pStyle w:val="a3"/>
        <w:shd w:val="clear" w:color="auto" w:fill="FFFFFF"/>
        <w:spacing w:before="240" w:beforeAutospacing="0" w:after="120" w:afterAutospacing="0" w:line="300" w:lineRule="auto"/>
        <w:jc w:val="center"/>
        <w:rPr>
          <w:rFonts w:ascii="Arial" w:hAnsi="Arial" w:cs="Arial"/>
          <w:color w:val="202020"/>
          <w:sz w:val="28"/>
          <w:szCs w:val="28"/>
          <w:lang w:val="uk-UA"/>
        </w:rPr>
      </w:pPr>
      <w:bookmarkStart w:id="0" w:name="_GoBack"/>
      <w:bookmarkEnd w:id="0"/>
      <w:r w:rsidRPr="005865CA">
        <w:rPr>
          <w:rFonts w:ascii="Arial" w:hAnsi="Arial" w:cs="Arial"/>
          <w:b/>
          <w:bCs/>
          <w:color w:val="2B48FF"/>
          <w:sz w:val="36"/>
          <w:szCs w:val="28"/>
          <w:lang w:val="uk-UA"/>
        </w:rPr>
        <w:t xml:space="preserve">4. </w:t>
      </w:r>
      <w:r>
        <w:rPr>
          <w:rFonts w:ascii="Arial" w:hAnsi="Arial" w:cs="Arial"/>
          <w:b/>
          <w:bCs/>
          <w:color w:val="2B48FF"/>
          <w:sz w:val="28"/>
          <w:szCs w:val="28"/>
          <w:lang w:val="uk-UA"/>
        </w:rPr>
        <w:t>Р</w:t>
      </w:r>
      <w:r w:rsidRPr="005865CA">
        <w:rPr>
          <w:rFonts w:ascii="Arial" w:hAnsi="Arial" w:cs="Arial"/>
          <w:b/>
          <w:bCs/>
          <w:color w:val="2B48FF"/>
          <w:sz w:val="28"/>
          <w:szCs w:val="28"/>
          <w:lang w:val="uk-UA"/>
        </w:rPr>
        <w:t>ОЗРОБЛЕНО ВИМОГИ ДО МІЖДИСЦИПЛІНАРНИХ</w:t>
      </w:r>
      <w:r w:rsidRPr="005865CA">
        <w:rPr>
          <w:rFonts w:ascii="Arial" w:hAnsi="Arial" w:cs="Arial"/>
          <w:b/>
          <w:bCs/>
          <w:color w:val="2B48FF"/>
          <w:sz w:val="28"/>
          <w:szCs w:val="28"/>
          <w:lang w:val="uk-UA"/>
        </w:rPr>
        <w:br/>
        <w:t>ОСВІТНІХ (НАУКОВИХ) ПРОГРАМ ВИЩОЇ ОСВІТИ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Міністерство освіти і науки України </w:t>
      </w:r>
      <w:hyperlink r:id="rId16" w:tgtFrame="_blank" w:history="1">
        <w:r w:rsidRPr="005865CA">
          <w:rPr>
            <w:rFonts w:ascii="Arial" w:eastAsia="Times New Roman" w:hAnsi="Arial" w:cs="Arial"/>
            <w:color w:val="007C89"/>
            <w:sz w:val="28"/>
            <w:szCs w:val="28"/>
            <w:u w:val="single"/>
            <w:lang w:val="uk-UA" w:eastAsia="ru-RU"/>
          </w:rPr>
          <w:t>розробило та затвердило</w:t>
        </w:r>
      </w:hyperlink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 вимоги до міждисциплінарних освітніх (наукових) програм вищої освіти.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Так, освітня (наукова) програма вважається міждисциплінарною, якщо обсяг освітніх компонентів у кредитах європейської кредитної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lastRenderedPageBreak/>
        <w:t>трансферно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-накопичувальної системи, що може бути співвіднесений з відповідними спеціальностями (галузями), які визначають її предметну область, є приблизно однаковий.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 xml:space="preserve">Вимоги встановлено з урахуванням особливостей міждисциплінарних (розширених) освітніх програм початкового рівня (короткого циклу) вищої освіти та міждисциплінарних 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освітньо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-наукових програм другого (магістерського) та третього (</w:t>
      </w:r>
      <w:proofErr w:type="spellStart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освітньо</w:t>
      </w:r>
      <w:proofErr w:type="spellEnd"/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-наукового) рівнів.</w:t>
      </w:r>
    </w:p>
    <w:p w:rsidR="005865CA" w:rsidRPr="005865CA" w:rsidRDefault="005865CA" w:rsidP="005865CA">
      <w:pPr>
        <w:shd w:val="clear" w:color="auto" w:fill="FFFFFF"/>
        <w:spacing w:after="120" w:line="300" w:lineRule="auto"/>
        <w:ind w:firstLine="567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  <w:t>Зазначені вимоги підлягають урахуванню закладами освіти (науковими установами), які готують і реалізують освітні програми, Національним агентством із забезпечення якості вищої освіти і незалежними установами оцінювання та забезпечення якості вищої освіти, які акредитують міждисциплінарні освітні (наукові) програми.</w:t>
      </w:r>
    </w:p>
    <w:p w:rsidR="005865CA" w:rsidRDefault="005865CA" w:rsidP="005865CA">
      <w:pPr>
        <w:shd w:val="clear" w:color="auto" w:fill="FFFFFF"/>
        <w:spacing w:after="120" w:line="300" w:lineRule="auto"/>
        <w:jc w:val="both"/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</w:pPr>
    </w:p>
    <w:p w:rsidR="005865CA" w:rsidRDefault="005865CA" w:rsidP="005865CA">
      <w:pPr>
        <w:shd w:val="clear" w:color="auto" w:fill="FFFFFF"/>
        <w:spacing w:after="120" w:line="300" w:lineRule="auto"/>
        <w:jc w:val="both"/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З повагою</w:t>
      </w:r>
    </w:p>
    <w:p w:rsidR="005865CA" w:rsidRPr="005865CA" w:rsidRDefault="005865CA" w:rsidP="005865CA">
      <w:pPr>
        <w:shd w:val="clear" w:color="auto" w:fill="FFFFFF"/>
        <w:spacing w:after="120" w:line="300" w:lineRule="auto"/>
        <w:jc w:val="both"/>
        <w:rPr>
          <w:rFonts w:ascii="Arial" w:eastAsia="Times New Roman" w:hAnsi="Arial" w:cs="Arial"/>
          <w:color w:val="202020"/>
          <w:sz w:val="28"/>
          <w:szCs w:val="28"/>
          <w:lang w:val="uk-UA" w:eastAsia="ru-RU"/>
        </w:rPr>
      </w:pPr>
      <w:r w:rsidRPr="005865CA">
        <w:rPr>
          <w:rFonts w:ascii="Arial" w:eastAsia="Times New Roman" w:hAnsi="Arial" w:cs="Arial"/>
          <w:b/>
          <w:bCs/>
          <w:color w:val="202020"/>
          <w:sz w:val="28"/>
          <w:szCs w:val="28"/>
          <w:lang w:val="uk-UA" w:eastAsia="ru-RU"/>
        </w:rPr>
        <w:t>команда Міністерства освіти і науки</w:t>
      </w:r>
    </w:p>
    <w:p w:rsidR="005865CA" w:rsidRPr="005865CA" w:rsidRDefault="005865CA" w:rsidP="005865CA">
      <w:pPr>
        <w:spacing w:after="120" w:line="300" w:lineRule="auto"/>
        <w:rPr>
          <w:rFonts w:ascii="Arial" w:hAnsi="Arial" w:cs="Arial"/>
          <w:sz w:val="28"/>
          <w:szCs w:val="28"/>
          <w:lang w:val="uk-UA"/>
        </w:rPr>
      </w:pPr>
    </w:p>
    <w:sectPr w:rsidR="005865CA" w:rsidRPr="005865CA" w:rsidSect="005865CA">
      <w:footerReference w:type="default" r:id="rId17"/>
      <w:pgSz w:w="11906" w:h="16838"/>
      <w:pgMar w:top="851" w:right="850" w:bottom="1134" w:left="1418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94" w:rsidRDefault="00AD6994" w:rsidP="005865CA">
      <w:pPr>
        <w:spacing w:after="0" w:line="240" w:lineRule="auto"/>
      </w:pPr>
      <w:r>
        <w:separator/>
      </w:r>
    </w:p>
  </w:endnote>
  <w:endnote w:type="continuationSeparator" w:id="0">
    <w:p w:rsidR="00AD6994" w:rsidRDefault="00AD6994" w:rsidP="0058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322490"/>
      <w:docPartObj>
        <w:docPartGallery w:val="Page Numbers (Bottom of Page)"/>
        <w:docPartUnique/>
      </w:docPartObj>
    </w:sdtPr>
    <w:sdtContent>
      <w:p w:rsidR="005865CA" w:rsidRDefault="005865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865CA" w:rsidRPr="005865CA" w:rsidRDefault="005865CA">
    <w:pPr>
      <w:pStyle w:val="a8"/>
      <w:rPr>
        <w:sz w:val="12"/>
        <w:szCs w:val="12"/>
      </w:rPr>
    </w:pPr>
    <w:r w:rsidRPr="005865CA">
      <w:rPr>
        <w:sz w:val="12"/>
        <w:szCs w:val="12"/>
      </w:rPr>
      <w:fldChar w:fldCharType="begin"/>
    </w:r>
    <w:r w:rsidRPr="005865CA">
      <w:rPr>
        <w:sz w:val="12"/>
        <w:szCs w:val="12"/>
      </w:rPr>
      <w:instrText xml:space="preserve"> FILENAME \p \* MERGEFORMAT </w:instrText>
    </w:r>
    <w:r w:rsidRPr="005865CA">
      <w:rPr>
        <w:sz w:val="12"/>
        <w:szCs w:val="12"/>
      </w:rPr>
      <w:fldChar w:fldCharType="separate"/>
    </w:r>
    <w:r w:rsidRPr="005865CA">
      <w:rPr>
        <w:noProof/>
        <w:sz w:val="12"/>
        <w:szCs w:val="12"/>
      </w:rPr>
      <w:t>C:\Users\Евгения\Desktop\актуальна інформація від МОН_20-04-2021.docx</w:t>
    </w:r>
    <w:r w:rsidRPr="005865CA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94" w:rsidRDefault="00AD6994" w:rsidP="005865CA">
      <w:pPr>
        <w:spacing w:after="0" w:line="240" w:lineRule="auto"/>
      </w:pPr>
      <w:r>
        <w:separator/>
      </w:r>
    </w:p>
  </w:footnote>
  <w:footnote w:type="continuationSeparator" w:id="0">
    <w:p w:rsidR="00AD6994" w:rsidRDefault="00AD6994" w:rsidP="00586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270"/>
    <w:multiLevelType w:val="multilevel"/>
    <w:tmpl w:val="9DB0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31CFD"/>
    <w:multiLevelType w:val="multilevel"/>
    <w:tmpl w:val="759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25FEE"/>
    <w:multiLevelType w:val="multilevel"/>
    <w:tmpl w:val="ED36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0228E5"/>
    <w:multiLevelType w:val="multilevel"/>
    <w:tmpl w:val="2DFC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51B30"/>
    <w:multiLevelType w:val="multilevel"/>
    <w:tmpl w:val="72B0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4E"/>
    <w:rsid w:val="000A7F06"/>
    <w:rsid w:val="005865CA"/>
    <w:rsid w:val="0065544E"/>
    <w:rsid w:val="00AD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571AE"/>
  <w15:chartTrackingRefBased/>
  <w15:docId w15:val="{D74E36EE-8156-4DD3-A7A3-2F500923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65CA"/>
    <w:rPr>
      <w:color w:val="0000FF"/>
      <w:u w:val="single"/>
    </w:rPr>
  </w:style>
  <w:style w:type="character" w:styleId="a5">
    <w:name w:val="Strong"/>
    <w:basedOn w:val="a0"/>
    <w:uiPriority w:val="22"/>
    <w:qFormat/>
    <w:rsid w:val="005865CA"/>
    <w:rPr>
      <w:b/>
      <w:bCs/>
    </w:rPr>
  </w:style>
  <w:style w:type="paragraph" w:styleId="a6">
    <w:name w:val="header"/>
    <w:basedOn w:val="a"/>
    <w:link w:val="a7"/>
    <w:uiPriority w:val="99"/>
    <w:unhideWhenUsed/>
    <w:rsid w:val="0058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5CA"/>
  </w:style>
  <w:style w:type="paragraph" w:styleId="a8">
    <w:name w:val="footer"/>
    <w:basedOn w:val="a"/>
    <w:link w:val="a9"/>
    <w:uiPriority w:val="99"/>
    <w:unhideWhenUsed/>
    <w:rsid w:val="00586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ail.us18.list-manage.com/track/click?u=3477faae738137ac0cc69b991&amp;id=e0bfb7f6c4&amp;e=ffd7337547" TargetMode="External"/><Relationship Id="rId13" Type="http://schemas.openxmlformats.org/officeDocument/2006/relationships/hyperlink" Target="https://gmail.us18.list-manage.com/track/click?u=3477faae738137ac0cc69b991&amp;id=30e6ca8771&amp;e=ffd733754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mail.us18.list-manage.com/track/click?u=3477faae738137ac0cc69b991&amp;id=aa293e9d0b&amp;e=ffd7337547" TargetMode="External"/><Relationship Id="rId12" Type="http://schemas.openxmlformats.org/officeDocument/2006/relationships/hyperlink" Target="https://gmail.us18.list-manage.com/track/click?u=3477faae738137ac0cc69b991&amp;id=fb6820940a&amp;e=ffd7337547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mail.us18.list-manage.com/track/click?u=3477faae738137ac0cc69b991&amp;id=6e8a493e41&amp;e=ffd73375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mail.us18.list-manage.com/track/click?u=3477faae738137ac0cc69b991&amp;id=59a5f69484&amp;e=ffd73375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mail.us18.list-manage.com/track/click?u=3477faae738137ac0cc69b991&amp;id=0bdeba4809&amp;e=ffd7337547" TargetMode="External"/><Relationship Id="rId10" Type="http://schemas.openxmlformats.org/officeDocument/2006/relationships/hyperlink" Target="https://gmail.us18.list-manage.com/track/click?u=3477faae738137ac0cc69b991&amp;id=d86895c030&amp;e=ffd733754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mail.us18.list-manage.com/track/click?u=3477faae738137ac0cc69b991&amp;id=1e2237467d&amp;e=ffd7337547" TargetMode="External"/><Relationship Id="rId14" Type="http://schemas.openxmlformats.org/officeDocument/2006/relationships/hyperlink" Target="https://gmail.us18.list-manage.com/track/click?u=3477faae738137ac0cc69b991&amp;id=a742b157e0&amp;e=ffd73375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2021-04-20T12:59:00Z</dcterms:created>
  <dcterms:modified xsi:type="dcterms:W3CDTF">2021-04-20T13:07:00Z</dcterms:modified>
</cp:coreProperties>
</file>